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A2" w:rsidRDefault="00F053A2" w:rsidP="008A29ED"/>
    <w:p w:rsidR="00F053A2" w:rsidRDefault="00F053A2" w:rsidP="008A29ED"/>
    <w:p w:rsidR="00F053A2" w:rsidRDefault="00F053A2" w:rsidP="008A29ED"/>
    <w:p w:rsidR="00F053A2" w:rsidRDefault="00F053A2" w:rsidP="008A29ED"/>
    <w:p w:rsidR="00F053A2" w:rsidRDefault="0001342B" w:rsidP="008A29ED">
      <w:r w:rsidRPr="00CA0A01">
        <w:rPr>
          <w:rFonts w:eastAsia="Calibri"/>
          <w:noProof/>
          <w:lang w:val="en-GB" w:eastAsia="en-GB"/>
        </w:rPr>
        <w:drawing>
          <wp:anchor distT="0" distB="0" distL="114300" distR="114300" simplePos="0" relativeHeight="251659264" behindDoc="1" locked="0" layoutInCell="1" allowOverlap="1" wp14:anchorId="1D866005" wp14:editId="471E61C1">
            <wp:simplePos x="0" y="0"/>
            <wp:positionH relativeFrom="margin">
              <wp:align>center</wp:align>
            </wp:positionH>
            <wp:positionV relativeFrom="margin">
              <wp:posOffset>899271</wp:posOffset>
            </wp:positionV>
            <wp:extent cx="4848225" cy="1804670"/>
            <wp:effectExtent l="0" t="0" r="9525"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white-smaller bo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8225" cy="1804670"/>
                    </a:xfrm>
                    <a:prstGeom prst="rect">
                      <a:avLst/>
                    </a:prstGeom>
                  </pic:spPr>
                </pic:pic>
              </a:graphicData>
            </a:graphic>
            <wp14:sizeRelH relativeFrom="page">
              <wp14:pctWidth>0</wp14:pctWidth>
            </wp14:sizeRelH>
            <wp14:sizeRelV relativeFrom="page">
              <wp14:pctHeight>0</wp14:pctHeight>
            </wp14:sizeRelV>
          </wp:anchor>
        </w:drawing>
      </w:r>
    </w:p>
    <w:p w:rsidR="00F053A2" w:rsidRDefault="00F053A2" w:rsidP="008A29ED"/>
    <w:p w:rsidR="00F053A2" w:rsidRDefault="00F053A2" w:rsidP="008A29ED"/>
    <w:p w:rsidR="00F053A2" w:rsidRDefault="00F053A2" w:rsidP="008A29ED"/>
    <w:p w:rsidR="00F053A2" w:rsidRDefault="00F053A2" w:rsidP="008A29ED"/>
    <w:p w:rsidR="00A56D28" w:rsidRPr="00F71AC2" w:rsidRDefault="00FC673A" w:rsidP="008A29ED">
      <w:pPr>
        <w:pStyle w:val="Heading4"/>
      </w:pPr>
      <w:r w:rsidRPr="00F71AC2">
        <w:t>Complaints</w:t>
      </w:r>
      <w:r w:rsidR="00F71AC2" w:rsidRPr="00F71AC2">
        <w:t xml:space="preserve"> and Compliments</w:t>
      </w:r>
      <w:r w:rsidRPr="00F71AC2">
        <w:t xml:space="preserve"> Annual Report </w:t>
      </w:r>
    </w:p>
    <w:p w:rsidR="00F053A2" w:rsidRPr="00F71AC2" w:rsidRDefault="00F0271E" w:rsidP="008A29ED">
      <w:pPr>
        <w:pStyle w:val="Heading4"/>
      </w:pPr>
      <w:r>
        <w:t xml:space="preserve">April </w:t>
      </w:r>
      <w:r w:rsidR="00FC673A" w:rsidRPr="00F71AC2">
        <w:t>20</w:t>
      </w:r>
      <w:r w:rsidR="00415613">
        <w:t>1</w:t>
      </w:r>
      <w:r w:rsidR="003A4A99">
        <w:t>6</w:t>
      </w:r>
      <w:r w:rsidR="00FC673A" w:rsidRPr="00F71AC2">
        <w:t xml:space="preserve"> </w:t>
      </w:r>
      <w:r>
        <w:t xml:space="preserve">to March </w:t>
      </w:r>
      <w:r w:rsidR="00FC673A" w:rsidRPr="00F71AC2">
        <w:t>20</w:t>
      </w:r>
      <w:r w:rsidR="00415613">
        <w:t>1</w:t>
      </w:r>
      <w:r w:rsidR="003A4A99">
        <w:t>7</w:t>
      </w:r>
    </w:p>
    <w:p w:rsidR="00F053A2" w:rsidRPr="00F71AC2" w:rsidRDefault="00F053A2" w:rsidP="008A29ED"/>
    <w:p w:rsidR="00F053A2" w:rsidRDefault="00F053A2" w:rsidP="008A29ED"/>
    <w:p w:rsidR="00F053A2" w:rsidRDefault="00F053A2" w:rsidP="008A29ED"/>
    <w:p w:rsidR="00F053A2" w:rsidRDefault="00F053A2" w:rsidP="008A29ED"/>
    <w:p w:rsidR="008A29ED" w:rsidRDefault="008A29ED" w:rsidP="008A29ED"/>
    <w:p w:rsidR="008A29ED" w:rsidRDefault="008A29ED" w:rsidP="008A29ED"/>
    <w:p w:rsidR="008A29ED" w:rsidRDefault="008A29ED" w:rsidP="008A29ED"/>
    <w:p w:rsidR="008A29ED" w:rsidRDefault="008A29ED" w:rsidP="008A29ED"/>
    <w:p w:rsidR="008A29ED" w:rsidRDefault="008A29ED" w:rsidP="008A29ED"/>
    <w:p w:rsidR="008A29ED" w:rsidRDefault="008A29ED" w:rsidP="008A29ED"/>
    <w:p w:rsidR="008A29ED" w:rsidRDefault="008A29ED" w:rsidP="008A29ED"/>
    <w:p w:rsidR="008A29ED" w:rsidRDefault="008A29ED" w:rsidP="008A29ED"/>
    <w:p w:rsidR="008A29ED" w:rsidRDefault="008A29ED" w:rsidP="008A29ED"/>
    <w:p w:rsidR="008A29ED" w:rsidRDefault="008A29ED" w:rsidP="008A29ED"/>
    <w:p w:rsidR="008A29ED" w:rsidRDefault="008A29ED" w:rsidP="008A29ED">
      <w:r>
        <w:br w:type="page"/>
      </w:r>
    </w:p>
    <w:p w:rsidR="008A29ED" w:rsidRDefault="008A29ED" w:rsidP="008A29ED">
      <w:pPr>
        <w:sectPr w:rsidR="008A29ED" w:rsidSect="001E3A41">
          <w:pgSz w:w="11906" w:h="16838"/>
          <w:pgMar w:top="1259" w:right="1797" w:bottom="1440" w:left="1797" w:header="709" w:footer="709" w:gutter="0"/>
          <w:cols w:space="708"/>
          <w:docGrid w:linePitch="360"/>
        </w:sectPr>
      </w:pPr>
    </w:p>
    <w:p w:rsidR="005349D5" w:rsidRPr="00984578" w:rsidRDefault="005349D5" w:rsidP="008A29ED">
      <w:pPr>
        <w:pStyle w:val="Header"/>
      </w:pPr>
      <w:r w:rsidRPr="00984578">
        <w:lastRenderedPageBreak/>
        <w:t>Contents</w:t>
      </w:r>
    </w:p>
    <w:p w:rsidR="00174A2D" w:rsidRDefault="006862E4" w:rsidP="008A29ED">
      <w:pPr>
        <w:pStyle w:val="TOC1"/>
        <w:rPr>
          <w:rFonts w:asciiTheme="minorHAnsi" w:eastAsiaTheme="minorEastAsia" w:hAnsiTheme="minorHAnsi" w:cstheme="minorBidi"/>
          <w:noProof/>
        </w:rPr>
      </w:pPr>
      <w:r w:rsidRPr="00984578">
        <w:fldChar w:fldCharType="begin"/>
      </w:r>
      <w:r w:rsidR="005349D5" w:rsidRPr="00984578">
        <w:instrText xml:space="preserve"> TOC \o "1-3" \h \z \u </w:instrText>
      </w:r>
      <w:r w:rsidRPr="00984578">
        <w:fldChar w:fldCharType="separate"/>
      </w:r>
      <w:hyperlink w:anchor="_Toc481480467" w:history="1">
        <w:r w:rsidR="00174A2D" w:rsidRPr="0050632B">
          <w:rPr>
            <w:rStyle w:val="Hyperlink"/>
            <w:noProof/>
          </w:rPr>
          <w:t>Introduction</w:t>
        </w:r>
        <w:r w:rsidR="00174A2D">
          <w:rPr>
            <w:noProof/>
            <w:webHidden/>
          </w:rPr>
          <w:tab/>
        </w:r>
        <w:r w:rsidR="00174A2D">
          <w:rPr>
            <w:noProof/>
            <w:webHidden/>
          </w:rPr>
          <w:fldChar w:fldCharType="begin"/>
        </w:r>
        <w:r w:rsidR="00174A2D">
          <w:rPr>
            <w:noProof/>
            <w:webHidden/>
          </w:rPr>
          <w:instrText xml:space="preserve"> PAGEREF _Toc481480467 \h </w:instrText>
        </w:r>
        <w:r w:rsidR="00174A2D">
          <w:rPr>
            <w:noProof/>
            <w:webHidden/>
          </w:rPr>
        </w:r>
        <w:r w:rsidR="00174A2D">
          <w:rPr>
            <w:noProof/>
            <w:webHidden/>
          </w:rPr>
          <w:fldChar w:fldCharType="separate"/>
        </w:r>
        <w:r w:rsidR="00A6266F">
          <w:rPr>
            <w:noProof/>
            <w:webHidden/>
          </w:rPr>
          <w:t>2</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68" w:history="1">
        <w:r w:rsidR="00A6266F">
          <w:rPr>
            <w:rStyle w:val="Hyperlink"/>
            <w:noProof/>
          </w:rPr>
          <w:t>Nugent</w:t>
        </w:r>
        <w:r w:rsidR="00174A2D" w:rsidRPr="0050632B">
          <w:rPr>
            <w:rStyle w:val="Hyperlink"/>
            <w:noProof/>
          </w:rPr>
          <w:t>’s approach to complaints</w:t>
        </w:r>
        <w:r w:rsidR="00174A2D">
          <w:rPr>
            <w:noProof/>
            <w:webHidden/>
          </w:rPr>
          <w:tab/>
        </w:r>
        <w:r w:rsidR="00174A2D">
          <w:rPr>
            <w:noProof/>
            <w:webHidden/>
          </w:rPr>
          <w:fldChar w:fldCharType="begin"/>
        </w:r>
        <w:r w:rsidR="00174A2D">
          <w:rPr>
            <w:noProof/>
            <w:webHidden/>
          </w:rPr>
          <w:instrText xml:space="preserve"> PAGEREF _Toc481480468 \h </w:instrText>
        </w:r>
        <w:r w:rsidR="00174A2D">
          <w:rPr>
            <w:noProof/>
            <w:webHidden/>
          </w:rPr>
        </w:r>
        <w:r w:rsidR="00174A2D">
          <w:rPr>
            <w:noProof/>
            <w:webHidden/>
          </w:rPr>
          <w:fldChar w:fldCharType="separate"/>
        </w:r>
        <w:r w:rsidR="00A6266F">
          <w:rPr>
            <w:noProof/>
            <w:webHidden/>
          </w:rPr>
          <w:t>2</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69" w:history="1">
        <w:r w:rsidR="00174A2D" w:rsidRPr="0050632B">
          <w:rPr>
            <w:rStyle w:val="Hyperlink"/>
            <w:noProof/>
          </w:rPr>
          <w:t>The Three Stage Process</w:t>
        </w:r>
        <w:r w:rsidR="00174A2D">
          <w:rPr>
            <w:noProof/>
            <w:webHidden/>
          </w:rPr>
          <w:tab/>
        </w:r>
        <w:r w:rsidR="00174A2D">
          <w:rPr>
            <w:noProof/>
            <w:webHidden/>
          </w:rPr>
          <w:fldChar w:fldCharType="begin"/>
        </w:r>
        <w:r w:rsidR="00174A2D">
          <w:rPr>
            <w:noProof/>
            <w:webHidden/>
          </w:rPr>
          <w:instrText xml:space="preserve"> PAGEREF _Toc481480469 \h </w:instrText>
        </w:r>
        <w:r w:rsidR="00174A2D">
          <w:rPr>
            <w:noProof/>
            <w:webHidden/>
          </w:rPr>
        </w:r>
        <w:r w:rsidR="00174A2D">
          <w:rPr>
            <w:noProof/>
            <w:webHidden/>
          </w:rPr>
          <w:fldChar w:fldCharType="separate"/>
        </w:r>
        <w:r w:rsidR="00A6266F">
          <w:rPr>
            <w:noProof/>
            <w:webHidden/>
          </w:rPr>
          <w:t>3</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70" w:history="1">
        <w:r w:rsidR="00174A2D" w:rsidRPr="0050632B">
          <w:rPr>
            <w:rStyle w:val="Hyperlink"/>
            <w:noProof/>
          </w:rPr>
          <w:t>How Nugent listen</w:t>
        </w:r>
        <w:r w:rsidR="00A6266F">
          <w:rPr>
            <w:rStyle w:val="Hyperlink"/>
            <w:noProof/>
          </w:rPr>
          <w:t>s to what people say about its</w:t>
        </w:r>
        <w:r w:rsidR="00174A2D" w:rsidRPr="0050632B">
          <w:rPr>
            <w:rStyle w:val="Hyperlink"/>
            <w:noProof/>
          </w:rPr>
          <w:t xml:space="preserve"> services</w:t>
        </w:r>
        <w:r w:rsidR="00174A2D">
          <w:rPr>
            <w:noProof/>
            <w:webHidden/>
          </w:rPr>
          <w:tab/>
        </w:r>
        <w:r w:rsidR="00174A2D">
          <w:rPr>
            <w:noProof/>
            <w:webHidden/>
          </w:rPr>
          <w:fldChar w:fldCharType="begin"/>
        </w:r>
        <w:r w:rsidR="00174A2D">
          <w:rPr>
            <w:noProof/>
            <w:webHidden/>
          </w:rPr>
          <w:instrText xml:space="preserve"> PAGEREF _Toc481480470 \h </w:instrText>
        </w:r>
        <w:r w:rsidR="00174A2D">
          <w:rPr>
            <w:noProof/>
            <w:webHidden/>
          </w:rPr>
        </w:r>
        <w:r w:rsidR="00174A2D">
          <w:rPr>
            <w:noProof/>
            <w:webHidden/>
          </w:rPr>
          <w:fldChar w:fldCharType="separate"/>
        </w:r>
        <w:r w:rsidR="00A6266F">
          <w:rPr>
            <w:noProof/>
            <w:webHidden/>
          </w:rPr>
          <w:t>4</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71" w:history="1">
        <w:r w:rsidR="00174A2D" w:rsidRPr="0050632B">
          <w:rPr>
            <w:rStyle w:val="Hyperlink"/>
            <w:noProof/>
          </w:rPr>
          <w:t>Comparison of complaints 2015/16 and 2016/17</w:t>
        </w:r>
        <w:r w:rsidR="00174A2D">
          <w:rPr>
            <w:noProof/>
            <w:webHidden/>
          </w:rPr>
          <w:tab/>
        </w:r>
        <w:r w:rsidR="00174A2D">
          <w:rPr>
            <w:noProof/>
            <w:webHidden/>
          </w:rPr>
          <w:fldChar w:fldCharType="begin"/>
        </w:r>
        <w:r w:rsidR="00174A2D">
          <w:rPr>
            <w:noProof/>
            <w:webHidden/>
          </w:rPr>
          <w:instrText xml:space="preserve"> PAGEREF _Toc481480471 \h </w:instrText>
        </w:r>
        <w:r w:rsidR="00174A2D">
          <w:rPr>
            <w:noProof/>
            <w:webHidden/>
          </w:rPr>
        </w:r>
        <w:r w:rsidR="00174A2D">
          <w:rPr>
            <w:noProof/>
            <w:webHidden/>
          </w:rPr>
          <w:fldChar w:fldCharType="separate"/>
        </w:r>
        <w:r w:rsidR="00A6266F">
          <w:rPr>
            <w:noProof/>
            <w:webHidden/>
          </w:rPr>
          <w:t>5</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72" w:history="1">
        <w:r w:rsidR="00174A2D" w:rsidRPr="0050632B">
          <w:rPr>
            <w:rStyle w:val="Hyperlink"/>
            <w:noProof/>
          </w:rPr>
          <w:t>Categories of complaints</w:t>
        </w:r>
        <w:r w:rsidR="00174A2D">
          <w:rPr>
            <w:noProof/>
            <w:webHidden/>
          </w:rPr>
          <w:tab/>
        </w:r>
        <w:r w:rsidR="00174A2D">
          <w:rPr>
            <w:noProof/>
            <w:webHidden/>
          </w:rPr>
          <w:fldChar w:fldCharType="begin"/>
        </w:r>
        <w:r w:rsidR="00174A2D">
          <w:rPr>
            <w:noProof/>
            <w:webHidden/>
          </w:rPr>
          <w:instrText xml:space="preserve"> PAGEREF _Toc481480472 \h </w:instrText>
        </w:r>
        <w:r w:rsidR="00174A2D">
          <w:rPr>
            <w:noProof/>
            <w:webHidden/>
          </w:rPr>
        </w:r>
        <w:r w:rsidR="00174A2D">
          <w:rPr>
            <w:noProof/>
            <w:webHidden/>
          </w:rPr>
          <w:fldChar w:fldCharType="separate"/>
        </w:r>
        <w:r w:rsidR="00A6266F">
          <w:rPr>
            <w:noProof/>
            <w:webHidden/>
          </w:rPr>
          <w:t>6</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73" w:history="1">
        <w:r w:rsidR="00174A2D" w:rsidRPr="0050632B">
          <w:rPr>
            <w:rStyle w:val="Hyperlink"/>
            <w:noProof/>
          </w:rPr>
          <w:t>Comparison of complaints by category 2015/16 and 2016/17</w:t>
        </w:r>
        <w:r w:rsidR="00174A2D">
          <w:rPr>
            <w:noProof/>
            <w:webHidden/>
          </w:rPr>
          <w:tab/>
        </w:r>
        <w:r w:rsidR="00174A2D">
          <w:rPr>
            <w:noProof/>
            <w:webHidden/>
          </w:rPr>
          <w:fldChar w:fldCharType="begin"/>
        </w:r>
        <w:r w:rsidR="00174A2D">
          <w:rPr>
            <w:noProof/>
            <w:webHidden/>
          </w:rPr>
          <w:instrText xml:space="preserve"> PAGEREF _Toc481480473 \h </w:instrText>
        </w:r>
        <w:r w:rsidR="00174A2D">
          <w:rPr>
            <w:noProof/>
            <w:webHidden/>
          </w:rPr>
        </w:r>
        <w:r w:rsidR="00174A2D">
          <w:rPr>
            <w:noProof/>
            <w:webHidden/>
          </w:rPr>
          <w:fldChar w:fldCharType="separate"/>
        </w:r>
        <w:r w:rsidR="00A6266F">
          <w:rPr>
            <w:noProof/>
            <w:webHidden/>
          </w:rPr>
          <w:t>9</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74" w:history="1">
        <w:r w:rsidR="00174A2D" w:rsidRPr="0050632B">
          <w:rPr>
            <w:rStyle w:val="Hyperlink"/>
            <w:noProof/>
          </w:rPr>
          <w:t>Complaints by service</w:t>
        </w:r>
        <w:r w:rsidR="00174A2D">
          <w:rPr>
            <w:noProof/>
            <w:webHidden/>
          </w:rPr>
          <w:tab/>
        </w:r>
        <w:r w:rsidR="00174A2D">
          <w:rPr>
            <w:noProof/>
            <w:webHidden/>
          </w:rPr>
          <w:fldChar w:fldCharType="begin"/>
        </w:r>
        <w:r w:rsidR="00174A2D">
          <w:rPr>
            <w:noProof/>
            <w:webHidden/>
          </w:rPr>
          <w:instrText xml:space="preserve"> PAGEREF _Toc481480474 \h </w:instrText>
        </w:r>
        <w:r w:rsidR="00174A2D">
          <w:rPr>
            <w:noProof/>
            <w:webHidden/>
          </w:rPr>
        </w:r>
        <w:r w:rsidR="00174A2D">
          <w:rPr>
            <w:noProof/>
            <w:webHidden/>
          </w:rPr>
          <w:fldChar w:fldCharType="separate"/>
        </w:r>
        <w:r w:rsidR="00A6266F">
          <w:rPr>
            <w:noProof/>
            <w:webHidden/>
          </w:rPr>
          <w:t>12</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75" w:history="1">
        <w:r w:rsidR="00174A2D" w:rsidRPr="0050632B">
          <w:rPr>
            <w:rStyle w:val="Hyperlink"/>
            <w:noProof/>
          </w:rPr>
          <w:t>Breakdown of who complaints were made against 2016/17</w:t>
        </w:r>
        <w:r w:rsidR="00174A2D">
          <w:rPr>
            <w:noProof/>
            <w:webHidden/>
          </w:rPr>
          <w:tab/>
        </w:r>
        <w:r w:rsidR="00174A2D">
          <w:rPr>
            <w:noProof/>
            <w:webHidden/>
          </w:rPr>
          <w:fldChar w:fldCharType="begin"/>
        </w:r>
        <w:r w:rsidR="00174A2D">
          <w:rPr>
            <w:noProof/>
            <w:webHidden/>
          </w:rPr>
          <w:instrText xml:space="preserve"> PAGEREF _Toc481480475 \h </w:instrText>
        </w:r>
        <w:r w:rsidR="00174A2D">
          <w:rPr>
            <w:noProof/>
            <w:webHidden/>
          </w:rPr>
        </w:r>
        <w:r w:rsidR="00174A2D">
          <w:rPr>
            <w:noProof/>
            <w:webHidden/>
          </w:rPr>
          <w:fldChar w:fldCharType="separate"/>
        </w:r>
        <w:r w:rsidR="00A6266F">
          <w:rPr>
            <w:noProof/>
            <w:webHidden/>
          </w:rPr>
          <w:t>14</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76" w:history="1">
        <w:r w:rsidR="00174A2D" w:rsidRPr="0050632B">
          <w:rPr>
            <w:rStyle w:val="Hyperlink"/>
            <w:noProof/>
          </w:rPr>
          <w:t>Outcomes of complaints</w:t>
        </w:r>
        <w:r w:rsidR="00174A2D">
          <w:rPr>
            <w:noProof/>
            <w:webHidden/>
          </w:rPr>
          <w:tab/>
        </w:r>
        <w:r w:rsidR="00174A2D">
          <w:rPr>
            <w:noProof/>
            <w:webHidden/>
          </w:rPr>
          <w:fldChar w:fldCharType="begin"/>
        </w:r>
        <w:r w:rsidR="00174A2D">
          <w:rPr>
            <w:noProof/>
            <w:webHidden/>
          </w:rPr>
          <w:instrText xml:space="preserve"> PAGEREF _Toc481480476 \h </w:instrText>
        </w:r>
        <w:r w:rsidR="00174A2D">
          <w:rPr>
            <w:noProof/>
            <w:webHidden/>
          </w:rPr>
        </w:r>
        <w:r w:rsidR="00174A2D">
          <w:rPr>
            <w:noProof/>
            <w:webHidden/>
          </w:rPr>
          <w:fldChar w:fldCharType="separate"/>
        </w:r>
        <w:r w:rsidR="00A6266F">
          <w:rPr>
            <w:noProof/>
            <w:webHidden/>
          </w:rPr>
          <w:t>15</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77" w:history="1">
        <w:r w:rsidR="00174A2D" w:rsidRPr="0050632B">
          <w:rPr>
            <w:rStyle w:val="Hyperlink"/>
            <w:noProof/>
          </w:rPr>
          <w:t>Gender of Complainants</w:t>
        </w:r>
        <w:r w:rsidR="00174A2D">
          <w:rPr>
            <w:noProof/>
            <w:webHidden/>
          </w:rPr>
          <w:tab/>
        </w:r>
        <w:r w:rsidR="00174A2D">
          <w:rPr>
            <w:noProof/>
            <w:webHidden/>
          </w:rPr>
          <w:fldChar w:fldCharType="begin"/>
        </w:r>
        <w:r w:rsidR="00174A2D">
          <w:rPr>
            <w:noProof/>
            <w:webHidden/>
          </w:rPr>
          <w:instrText xml:space="preserve"> PAGEREF _Toc481480477 \h </w:instrText>
        </w:r>
        <w:r w:rsidR="00174A2D">
          <w:rPr>
            <w:noProof/>
            <w:webHidden/>
          </w:rPr>
        </w:r>
        <w:r w:rsidR="00174A2D">
          <w:rPr>
            <w:noProof/>
            <w:webHidden/>
          </w:rPr>
          <w:fldChar w:fldCharType="separate"/>
        </w:r>
        <w:r w:rsidR="00A6266F">
          <w:rPr>
            <w:noProof/>
            <w:webHidden/>
          </w:rPr>
          <w:t>16</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79" w:history="1">
        <w:r w:rsidR="00174A2D" w:rsidRPr="0050632B">
          <w:rPr>
            <w:rStyle w:val="Hyperlink"/>
            <w:noProof/>
          </w:rPr>
          <w:t>Type of Complaints for Each Service</w:t>
        </w:r>
        <w:r w:rsidR="00174A2D">
          <w:rPr>
            <w:noProof/>
            <w:webHidden/>
          </w:rPr>
          <w:tab/>
        </w:r>
        <w:r w:rsidR="00174A2D">
          <w:rPr>
            <w:noProof/>
            <w:webHidden/>
          </w:rPr>
          <w:fldChar w:fldCharType="begin"/>
        </w:r>
        <w:r w:rsidR="00174A2D">
          <w:rPr>
            <w:noProof/>
            <w:webHidden/>
          </w:rPr>
          <w:instrText xml:space="preserve"> PAGEREF _Toc481480479 \h </w:instrText>
        </w:r>
        <w:r w:rsidR="00174A2D">
          <w:rPr>
            <w:noProof/>
            <w:webHidden/>
          </w:rPr>
        </w:r>
        <w:r w:rsidR="00174A2D">
          <w:rPr>
            <w:noProof/>
            <w:webHidden/>
          </w:rPr>
          <w:fldChar w:fldCharType="separate"/>
        </w:r>
        <w:r w:rsidR="00A6266F">
          <w:rPr>
            <w:noProof/>
            <w:webHidden/>
          </w:rPr>
          <w:t>17</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80" w:history="1">
        <w:r w:rsidR="00174A2D" w:rsidRPr="0050632B">
          <w:rPr>
            <w:rStyle w:val="Hyperlink"/>
            <w:noProof/>
          </w:rPr>
          <w:t>Strategies put in place</w:t>
        </w:r>
        <w:r w:rsidR="00174A2D">
          <w:rPr>
            <w:noProof/>
            <w:webHidden/>
          </w:rPr>
          <w:tab/>
        </w:r>
        <w:r w:rsidR="00174A2D">
          <w:rPr>
            <w:noProof/>
            <w:webHidden/>
          </w:rPr>
          <w:fldChar w:fldCharType="begin"/>
        </w:r>
        <w:r w:rsidR="00174A2D">
          <w:rPr>
            <w:noProof/>
            <w:webHidden/>
          </w:rPr>
          <w:instrText xml:space="preserve"> PAGEREF _Toc481480480 \h </w:instrText>
        </w:r>
        <w:r w:rsidR="00174A2D">
          <w:rPr>
            <w:noProof/>
            <w:webHidden/>
          </w:rPr>
        </w:r>
        <w:r w:rsidR="00174A2D">
          <w:rPr>
            <w:noProof/>
            <w:webHidden/>
          </w:rPr>
          <w:fldChar w:fldCharType="separate"/>
        </w:r>
        <w:r w:rsidR="00A6266F">
          <w:rPr>
            <w:noProof/>
            <w:webHidden/>
          </w:rPr>
          <w:t>18</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81" w:history="1">
        <w:r w:rsidR="00174A2D" w:rsidRPr="0050632B">
          <w:rPr>
            <w:rStyle w:val="Hyperlink"/>
            <w:noProof/>
          </w:rPr>
          <w:t>Compliments</w:t>
        </w:r>
        <w:r w:rsidR="00174A2D">
          <w:rPr>
            <w:noProof/>
            <w:webHidden/>
          </w:rPr>
          <w:tab/>
        </w:r>
        <w:r w:rsidR="00174A2D">
          <w:rPr>
            <w:noProof/>
            <w:webHidden/>
          </w:rPr>
          <w:fldChar w:fldCharType="begin"/>
        </w:r>
        <w:r w:rsidR="00174A2D">
          <w:rPr>
            <w:noProof/>
            <w:webHidden/>
          </w:rPr>
          <w:instrText xml:space="preserve"> PAGEREF _Toc481480481 \h </w:instrText>
        </w:r>
        <w:r w:rsidR="00174A2D">
          <w:rPr>
            <w:noProof/>
            <w:webHidden/>
          </w:rPr>
        </w:r>
        <w:r w:rsidR="00174A2D">
          <w:rPr>
            <w:noProof/>
            <w:webHidden/>
          </w:rPr>
          <w:fldChar w:fldCharType="separate"/>
        </w:r>
        <w:r w:rsidR="00A6266F">
          <w:rPr>
            <w:noProof/>
            <w:webHidden/>
          </w:rPr>
          <w:t>19</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82" w:history="1">
        <w:r w:rsidR="00174A2D" w:rsidRPr="0050632B">
          <w:rPr>
            <w:rStyle w:val="Hyperlink"/>
            <w:noProof/>
          </w:rPr>
          <w:t>Sample of compliments over the last 12 months</w:t>
        </w:r>
        <w:r w:rsidR="00174A2D">
          <w:rPr>
            <w:noProof/>
            <w:webHidden/>
          </w:rPr>
          <w:tab/>
        </w:r>
        <w:r w:rsidR="00174A2D">
          <w:rPr>
            <w:noProof/>
            <w:webHidden/>
          </w:rPr>
          <w:fldChar w:fldCharType="begin"/>
        </w:r>
        <w:r w:rsidR="00174A2D">
          <w:rPr>
            <w:noProof/>
            <w:webHidden/>
          </w:rPr>
          <w:instrText xml:space="preserve"> PAGEREF _Toc481480482 \h </w:instrText>
        </w:r>
        <w:r w:rsidR="00174A2D">
          <w:rPr>
            <w:noProof/>
            <w:webHidden/>
          </w:rPr>
        </w:r>
        <w:r w:rsidR="00174A2D">
          <w:rPr>
            <w:noProof/>
            <w:webHidden/>
          </w:rPr>
          <w:fldChar w:fldCharType="separate"/>
        </w:r>
        <w:r w:rsidR="00A6266F">
          <w:rPr>
            <w:noProof/>
            <w:webHidden/>
          </w:rPr>
          <w:t>19</w:t>
        </w:r>
        <w:r w:rsidR="00174A2D">
          <w:rPr>
            <w:noProof/>
            <w:webHidden/>
          </w:rPr>
          <w:fldChar w:fldCharType="end"/>
        </w:r>
      </w:hyperlink>
    </w:p>
    <w:p w:rsidR="00174A2D" w:rsidRDefault="006538C2" w:rsidP="008A29ED">
      <w:pPr>
        <w:pStyle w:val="TOC1"/>
        <w:rPr>
          <w:rFonts w:asciiTheme="minorHAnsi" w:eastAsiaTheme="minorEastAsia" w:hAnsiTheme="minorHAnsi" w:cstheme="minorBidi"/>
          <w:noProof/>
        </w:rPr>
      </w:pPr>
      <w:hyperlink w:anchor="_Toc481480483" w:history="1">
        <w:r w:rsidR="00174A2D" w:rsidRPr="0050632B">
          <w:rPr>
            <w:rStyle w:val="Hyperlink"/>
            <w:noProof/>
          </w:rPr>
          <w:t>Appendix</w:t>
        </w:r>
        <w:r w:rsidR="00174A2D">
          <w:rPr>
            <w:noProof/>
            <w:webHidden/>
          </w:rPr>
          <w:tab/>
        </w:r>
        <w:r w:rsidR="00174A2D">
          <w:rPr>
            <w:noProof/>
            <w:webHidden/>
          </w:rPr>
          <w:fldChar w:fldCharType="begin"/>
        </w:r>
        <w:r w:rsidR="00174A2D">
          <w:rPr>
            <w:noProof/>
            <w:webHidden/>
          </w:rPr>
          <w:instrText xml:space="preserve"> PAGEREF _Toc481480483 \h </w:instrText>
        </w:r>
        <w:r w:rsidR="00174A2D">
          <w:rPr>
            <w:noProof/>
            <w:webHidden/>
          </w:rPr>
        </w:r>
        <w:r w:rsidR="00174A2D">
          <w:rPr>
            <w:noProof/>
            <w:webHidden/>
          </w:rPr>
          <w:fldChar w:fldCharType="separate"/>
        </w:r>
        <w:r w:rsidR="00A6266F">
          <w:rPr>
            <w:noProof/>
            <w:webHidden/>
          </w:rPr>
          <w:t>22</w:t>
        </w:r>
        <w:r w:rsidR="00174A2D">
          <w:rPr>
            <w:noProof/>
            <w:webHidden/>
          </w:rPr>
          <w:fldChar w:fldCharType="end"/>
        </w:r>
      </w:hyperlink>
    </w:p>
    <w:p w:rsidR="008A29ED" w:rsidRDefault="006538C2" w:rsidP="006538C2">
      <w:pPr>
        <w:pStyle w:val="TOC2"/>
      </w:pPr>
      <w:hyperlink w:anchor="_Toc481480484" w:history="1">
        <w:r w:rsidR="00174A2D" w:rsidRPr="0050632B">
          <w:rPr>
            <w:rStyle w:val="Hyperlink"/>
            <w:i/>
            <w:noProof/>
          </w:rPr>
          <w:t>Appendix 1</w:t>
        </w:r>
        <w:r w:rsidR="00174A2D">
          <w:rPr>
            <w:noProof/>
            <w:webHidden/>
          </w:rPr>
          <w:tab/>
        </w:r>
        <w:r w:rsidR="00174A2D">
          <w:rPr>
            <w:noProof/>
            <w:webHidden/>
          </w:rPr>
          <w:fldChar w:fldCharType="begin"/>
        </w:r>
        <w:r w:rsidR="00174A2D">
          <w:rPr>
            <w:noProof/>
            <w:webHidden/>
          </w:rPr>
          <w:instrText xml:space="preserve"> PAGEREF _Toc481480484 \h </w:instrText>
        </w:r>
        <w:r w:rsidR="00174A2D">
          <w:rPr>
            <w:noProof/>
            <w:webHidden/>
          </w:rPr>
        </w:r>
        <w:r w:rsidR="00174A2D">
          <w:rPr>
            <w:noProof/>
            <w:webHidden/>
          </w:rPr>
          <w:fldChar w:fldCharType="separate"/>
        </w:r>
        <w:r w:rsidR="00A6266F">
          <w:rPr>
            <w:noProof/>
            <w:webHidden/>
          </w:rPr>
          <w:t>22</w:t>
        </w:r>
        <w:r w:rsidR="00174A2D">
          <w:rPr>
            <w:noProof/>
            <w:webHidden/>
          </w:rPr>
          <w:fldChar w:fldCharType="end"/>
        </w:r>
      </w:hyperlink>
      <w:r w:rsidR="006862E4" w:rsidRPr="00984578">
        <w:fldChar w:fldCharType="end"/>
      </w:r>
      <w:r w:rsidR="005349D5" w:rsidRPr="00984578">
        <w:br w:type="page"/>
      </w:r>
      <w:bookmarkStart w:id="0" w:name="_Toc481480467"/>
    </w:p>
    <w:p w:rsidR="008A29ED" w:rsidRDefault="008A29ED" w:rsidP="008A29ED">
      <w:pPr>
        <w:rPr>
          <w:sz w:val="32"/>
          <w:szCs w:val="32"/>
        </w:rPr>
      </w:pPr>
      <w:r>
        <w:rPr>
          <w:b/>
          <w:sz w:val="32"/>
          <w:szCs w:val="32"/>
        </w:rPr>
        <w:lastRenderedPageBreak/>
        <w:t>Executive Summary</w:t>
      </w:r>
    </w:p>
    <w:p w:rsidR="008A29ED" w:rsidRDefault="008A29ED" w:rsidP="008A29ED">
      <w:pPr>
        <w:rPr>
          <w:sz w:val="32"/>
          <w:szCs w:val="32"/>
        </w:rPr>
      </w:pPr>
    </w:p>
    <w:p w:rsidR="008A29ED" w:rsidRDefault="006538C2" w:rsidP="008A29ED">
      <w:pPr>
        <w:jc w:val="left"/>
        <w:rPr>
          <w:kern w:val="32"/>
          <w:sz w:val="32"/>
          <w:szCs w:val="32"/>
        </w:rPr>
      </w:pPr>
      <w:r>
        <w:t>This is the 9</w:t>
      </w:r>
      <w:r w:rsidRPr="006538C2">
        <w:rPr>
          <w:vertAlign w:val="superscript"/>
        </w:rPr>
        <w:t>th</w:t>
      </w:r>
      <w:r>
        <w:t xml:space="preserve"> Annual Report on Complaints and Compliments that Nugent has produced and covers the period April 2016 to March 2017.</w:t>
      </w:r>
      <w:r w:rsidR="008A29ED">
        <w:br w:type="page"/>
      </w:r>
    </w:p>
    <w:p w:rsidR="003C6C5F" w:rsidRPr="00984578" w:rsidRDefault="003C6C5F" w:rsidP="008A29ED">
      <w:pPr>
        <w:pStyle w:val="Heading1"/>
      </w:pPr>
      <w:r w:rsidRPr="00984578">
        <w:lastRenderedPageBreak/>
        <w:t>Introduction</w:t>
      </w:r>
      <w:bookmarkEnd w:id="0"/>
    </w:p>
    <w:p w:rsidR="003C6C5F" w:rsidRPr="00984578" w:rsidRDefault="003C6C5F" w:rsidP="006538C2">
      <w:pPr>
        <w:jc w:val="left"/>
      </w:pPr>
    </w:p>
    <w:p w:rsidR="003C6C5F" w:rsidRPr="00984578" w:rsidRDefault="003C6C5F" w:rsidP="006538C2">
      <w:pPr>
        <w:jc w:val="left"/>
      </w:pPr>
      <w:r w:rsidRPr="00984578">
        <w:t xml:space="preserve">This is the </w:t>
      </w:r>
      <w:r w:rsidR="00BF5275" w:rsidRPr="00984578">
        <w:t>ninth</w:t>
      </w:r>
      <w:r w:rsidRPr="00984578">
        <w:t xml:space="preserve"> annual report on complaints</w:t>
      </w:r>
      <w:r w:rsidR="00EF1E2C" w:rsidRPr="00984578">
        <w:t xml:space="preserve"> and compliments</w:t>
      </w:r>
      <w:r w:rsidR="00A56D28" w:rsidRPr="00984578">
        <w:t xml:space="preserve"> that Nugent has produced and covers the</w:t>
      </w:r>
      <w:r w:rsidRPr="00984578">
        <w:t xml:space="preserve"> period</w:t>
      </w:r>
      <w:r w:rsidR="00A56D28" w:rsidRPr="00984578">
        <w:t xml:space="preserve"> April 20</w:t>
      </w:r>
      <w:r w:rsidR="001F660F" w:rsidRPr="00984578">
        <w:t>1</w:t>
      </w:r>
      <w:r w:rsidR="00BF5275" w:rsidRPr="00984578">
        <w:t>6</w:t>
      </w:r>
      <w:r w:rsidR="00A56D28" w:rsidRPr="00984578">
        <w:t xml:space="preserve"> to March 201</w:t>
      </w:r>
      <w:r w:rsidR="00BF5275" w:rsidRPr="00984578">
        <w:t>7</w:t>
      </w:r>
      <w:r w:rsidRPr="00984578">
        <w:t xml:space="preserve">. </w:t>
      </w:r>
    </w:p>
    <w:p w:rsidR="00FC673A" w:rsidRPr="00984578" w:rsidRDefault="00FC673A" w:rsidP="006538C2">
      <w:pPr>
        <w:jc w:val="left"/>
      </w:pPr>
    </w:p>
    <w:p w:rsidR="00A56D28" w:rsidRPr="00984578" w:rsidRDefault="00A56D28" w:rsidP="006538C2">
      <w:pPr>
        <w:jc w:val="left"/>
      </w:pPr>
      <w:r w:rsidRPr="00984578">
        <w:t>Nugent encourages complaints</w:t>
      </w:r>
      <w:r w:rsidR="00EF1E2C" w:rsidRPr="00984578">
        <w:t xml:space="preserve"> and compliments</w:t>
      </w:r>
      <w:r w:rsidR="008C0D43" w:rsidRPr="00984578">
        <w:t>. We want to work with service users, parents,</w:t>
      </w:r>
      <w:r w:rsidR="008C0D43" w:rsidRPr="00036F8D">
        <w:rPr>
          <w:lang w:val="en-GB"/>
        </w:rPr>
        <w:t xml:space="preserve"> carers</w:t>
      </w:r>
      <w:r w:rsidR="008C0D43" w:rsidRPr="00984578">
        <w:t>, families and other professionals to provide quality services to meet their needs.</w:t>
      </w:r>
      <w:r w:rsidR="00342889" w:rsidRPr="00984578">
        <w:t xml:space="preserve"> A complaint is not necessarily a negative action, we view complaints as an opportunity to improve upon the services we provide.</w:t>
      </w:r>
    </w:p>
    <w:p w:rsidR="00A56D28" w:rsidRPr="00984578" w:rsidRDefault="00A56D28" w:rsidP="006538C2">
      <w:pPr>
        <w:jc w:val="left"/>
      </w:pPr>
    </w:p>
    <w:p w:rsidR="00A56D28" w:rsidRPr="00984578" w:rsidRDefault="00BF2AFE" w:rsidP="006538C2">
      <w:pPr>
        <w:jc w:val="left"/>
      </w:pPr>
      <w:r w:rsidRPr="00984578">
        <w:t>Nugent’s definition of a complaint is:</w:t>
      </w:r>
      <w:r w:rsidR="00A56D28" w:rsidRPr="00984578">
        <w:t xml:space="preserve"> ‘An expression of dissatisfaction with any of Nugent</w:t>
      </w:r>
      <w:r w:rsidR="0036702F">
        <w:t xml:space="preserve">’s </w:t>
      </w:r>
      <w:r w:rsidR="00A56D28" w:rsidRPr="00984578">
        <w:t>services or projects which requires a response.’</w:t>
      </w:r>
    </w:p>
    <w:p w:rsidR="00BF2AFE" w:rsidRPr="00984578" w:rsidRDefault="00BF2AFE" w:rsidP="006538C2">
      <w:pPr>
        <w:jc w:val="left"/>
      </w:pPr>
    </w:p>
    <w:p w:rsidR="00A56D28" w:rsidRPr="00984578" w:rsidRDefault="00A56D28" w:rsidP="006538C2">
      <w:pPr>
        <w:jc w:val="left"/>
      </w:pPr>
      <w:r w:rsidRPr="00984578">
        <w:t>A complaint is treated seriously whether it is made in person, by telephone, letter, fax, email, or through our website.</w:t>
      </w:r>
    </w:p>
    <w:p w:rsidR="00A56D28" w:rsidRPr="00984578" w:rsidRDefault="00A56D28" w:rsidP="006538C2">
      <w:pPr>
        <w:jc w:val="left"/>
      </w:pPr>
    </w:p>
    <w:p w:rsidR="003C6C5F" w:rsidRPr="00984578" w:rsidRDefault="008C0D43" w:rsidP="006538C2">
      <w:pPr>
        <w:jc w:val="left"/>
      </w:pPr>
      <w:r w:rsidRPr="00984578">
        <w:t xml:space="preserve">Compliments can be received in a number of ways, but at present are not </w:t>
      </w:r>
      <w:r w:rsidR="00753B20" w:rsidRPr="00984578">
        <w:t>formally</w:t>
      </w:r>
      <w:r w:rsidRPr="00984578">
        <w:t xml:space="preserve"> reported to the </w:t>
      </w:r>
      <w:r w:rsidR="001F660F" w:rsidRPr="00984578">
        <w:t>Quality Assurance Department (QA)</w:t>
      </w:r>
      <w:r w:rsidRPr="00984578">
        <w:t xml:space="preserve">. </w:t>
      </w:r>
      <w:r w:rsidR="00413BCF" w:rsidRPr="00984578">
        <w:t>Some</w:t>
      </w:r>
      <w:r w:rsidRPr="00984578">
        <w:t xml:space="preserve"> of the compliments reported have been obtained from the annual </w:t>
      </w:r>
      <w:r w:rsidR="00EF1E2C" w:rsidRPr="00984578">
        <w:t xml:space="preserve">satisfaction </w:t>
      </w:r>
      <w:r w:rsidRPr="00984578">
        <w:t xml:space="preserve">surveys which are sent to all service users and their </w:t>
      </w:r>
      <w:proofErr w:type="spellStart"/>
      <w:r w:rsidRPr="00984578">
        <w:t>carers</w:t>
      </w:r>
      <w:proofErr w:type="spellEnd"/>
      <w:r w:rsidR="00413BCF" w:rsidRPr="00984578">
        <w:t xml:space="preserve"> (where service users lack capacity)</w:t>
      </w:r>
      <w:r w:rsidRPr="00984578">
        <w:t>.</w:t>
      </w:r>
      <w:r w:rsidR="009A7817" w:rsidRPr="00984578">
        <w:t xml:space="preserve"> The QA Officers also look for records of compliments when carrying out audits at the sites.</w:t>
      </w:r>
    </w:p>
    <w:p w:rsidR="003C6C5F" w:rsidRPr="00984578" w:rsidRDefault="0044747B" w:rsidP="006538C2">
      <w:pPr>
        <w:pStyle w:val="Heading1"/>
        <w:jc w:val="left"/>
      </w:pPr>
      <w:bookmarkStart w:id="1" w:name="_Toc481480468"/>
      <w:r>
        <w:t>Nugent</w:t>
      </w:r>
      <w:r w:rsidR="00BF2AFE" w:rsidRPr="00984578">
        <w:t>’s approach to complaints</w:t>
      </w:r>
      <w:bookmarkEnd w:id="1"/>
    </w:p>
    <w:p w:rsidR="00BF2AFE" w:rsidRPr="00984578" w:rsidRDefault="00BF2AFE" w:rsidP="006538C2">
      <w:pPr>
        <w:jc w:val="left"/>
      </w:pPr>
    </w:p>
    <w:p w:rsidR="00BF2AFE" w:rsidRPr="00984578" w:rsidRDefault="0044747B" w:rsidP="006538C2">
      <w:pPr>
        <w:jc w:val="left"/>
      </w:pPr>
      <w:r>
        <w:t>Nugent</w:t>
      </w:r>
      <w:r w:rsidR="00BF2AFE" w:rsidRPr="00984578">
        <w:t xml:space="preserve"> values complaints and view</w:t>
      </w:r>
      <w:r w:rsidR="00413E37" w:rsidRPr="00984578">
        <w:t>s</w:t>
      </w:r>
      <w:r w:rsidR="00BF2AFE" w:rsidRPr="00984578">
        <w:t xml:space="preserve"> them in a positive light. Complaints help us to:</w:t>
      </w:r>
    </w:p>
    <w:p w:rsidR="00BF2AFE" w:rsidRPr="00984578" w:rsidRDefault="00BF2AFE" w:rsidP="006538C2">
      <w:pPr>
        <w:pStyle w:val="ListParagraph"/>
        <w:numPr>
          <w:ilvl w:val="0"/>
          <w:numId w:val="1"/>
        </w:numPr>
        <w:jc w:val="left"/>
      </w:pPr>
      <w:r w:rsidRPr="00984578">
        <w:t>listen to the views of people for whom we provide a service</w:t>
      </w:r>
    </w:p>
    <w:p w:rsidR="00BF2AFE" w:rsidRPr="00984578" w:rsidRDefault="00BF2AFE" w:rsidP="006538C2">
      <w:pPr>
        <w:pStyle w:val="ListParagraph"/>
        <w:numPr>
          <w:ilvl w:val="0"/>
          <w:numId w:val="1"/>
        </w:numPr>
        <w:jc w:val="left"/>
      </w:pPr>
      <w:r w:rsidRPr="00984578">
        <w:t>learn what people really want from our services</w:t>
      </w:r>
    </w:p>
    <w:p w:rsidR="00BF2AFE" w:rsidRPr="00984578" w:rsidRDefault="00BF2AFE" w:rsidP="006538C2">
      <w:pPr>
        <w:pStyle w:val="ListParagraph"/>
        <w:numPr>
          <w:ilvl w:val="0"/>
          <w:numId w:val="1"/>
        </w:numPr>
        <w:jc w:val="left"/>
      </w:pPr>
      <w:r w:rsidRPr="00984578">
        <w:t>implement continuous improvement to the services we provide</w:t>
      </w:r>
    </w:p>
    <w:p w:rsidR="003C6C5F" w:rsidRPr="00984578" w:rsidRDefault="003C6C5F" w:rsidP="006538C2">
      <w:pPr>
        <w:jc w:val="left"/>
      </w:pPr>
    </w:p>
    <w:p w:rsidR="003C6C5F" w:rsidRPr="00984578" w:rsidRDefault="00BF2AFE" w:rsidP="006538C2">
      <w:pPr>
        <w:jc w:val="left"/>
      </w:pPr>
      <w:r w:rsidRPr="00984578">
        <w:t>It is our intention to:</w:t>
      </w:r>
    </w:p>
    <w:p w:rsidR="00BF2AFE" w:rsidRPr="00984578" w:rsidRDefault="00BF2AFE" w:rsidP="006538C2">
      <w:pPr>
        <w:pStyle w:val="ListParagraph"/>
        <w:numPr>
          <w:ilvl w:val="0"/>
          <w:numId w:val="2"/>
        </w:numPr>
        <w:jc w:val="left"/>
      </w:pPr>
      <w:r w:rsidRPr="00984578">
        <w:t>take every complaint/concern raised seriously</w:t>
      </w:r>
    </w:p>
    <w:p w:rsidR="00BF2AFE" w:rsidRPr="00984578" w:rsidRDefault="00BF2AFE" w:rsidP="006538C2">
      <w:pPr>
        <w:pStyle w:val="Header"/>
        <w:numPr>
          <w:ilvl w:val="0"/>
          <w:numId w:val="2"/>
        </w:numPr>
        <w:jc w:val="left"/>
      </w:pPr>
      <w:r w:rsidRPr="00984578">
        <w:lastRenderedPageBreak/>
        <w:t>listen and respond to issues raised</w:t>
      </w:r>
    </w:p>
    <w:p w:rsidR="00BF2AFE" w:rsidRPr="00984578" w:rsidRDefault="00BF2AFE" w:rsidP="006538C2">
      <w:pPr>
        <w:pStyle w:val="Header"/>
        <w:numPr>
          <w:ilvl w:val="0"/>
          <w:numId w:val="2"/>
        </w:numPr>
        <w:jc w:val="left"/>
      </w:pPr>
      <w:r w:rsidRPr="00984578">
        <w:t>respond quickly at local level wherever possible</w:t>
      </w:r>
    </w:p>
    <w:p w:rsidR="00BF2AFE" w:rsidRPr="00984578" w:rsidRDefault="00BF2AFE" w:rsidP="006538C2">
      <w:pPr>
        <w:pStyle w:val="Header"/>
        <w:numPr>
          <w:ilvl w:val="0"/>
          <w:numId w:val="2"/>
        </w:numPr>
        <w:jc w:val="left"/>
      </w:pPr>
      <w:r w:rsidRPr="00984578">
        <w:t>respect confidentiality</w:t>
      </w:r>
    </w:p>
    <w:p w:rsidR="00BA03A8" w:rsidRPr="00984578" w:rsidRDefault="00BA03A8" w:rsidP="006538C2">
      <w:pPr>
        <w:pStyle w:val="Header"/>
        <w:numPr>
          <w:ilvl w:val="0"/>
          <w:numId w:val="2"/>
        </w:numPr>
        <w:jc w:val="left"/>
      </w:pPr>
      <w:r w:rsidRPr="00984578">
        <w:t xml:space="preserve">record all complaints and </w:t>
      </w:r>
      <w:proofErr w:type="spellStart"/>
      <w:r w:rsidRPr="00984578">
        <w:t>analyse</w:t>
      </w:r>
      <w:proofErr w:type="spellEnd"/>
      <w:r w:rsidRPr="00984578">
        <w:t xml:space="preserve"> them to prevent reoccurrence</w:t>
      </w:r>
    </w:p>
    <w:p w:rsidR="00BA03A8" w:rsidRPr="00984578" w:rsidRDefault="00BA03A8" w:rsidP="006538C2">
      <w:pPr>
        <w:pStyle w:val="Header"/>
        <w:jc w:val="left"/>
      </w:pPr>
    </w:p>
    <w:p w:rsidR="003C6C5F" w:rsidRPr="00984578" w:rsidRDefault="008C0D43" w:rsidP="006538C2">
      <w:pPr>
        <w:jc w:val="left"/>
      </w:pPr>
      <w:r w:rsidRPr="00984578">
        <w:t xml:space="preserve">Our service users and their </w:t>
      </w:r>
      <w:proofErr w:type="spellStart"/>
      <w:r w:rsidRPr="00984578">
        <w:t>carers</w:t>
      </w:r>
      <w:proofErr w:type="spellEnd"/>
      <w:r w:rsidRPr="00984578">
        <w:t xml:space="preserve"> may find it difficult to talk about their views or concerns. They may:</w:t>
      </w:r>
    </w:p>
    <w:p w:rsidR="008C0D43" w:rsidRPr="00984578" w:rsidRDefault="00B7618A" w:rsidP="006538C2">
      <w:pPr>
        <w:pStyle w:val="ListParagraph"/>
        <w:numPr>
          <w:ilvl w:val="0"/>
          <w:numId w:val="3"/>
        </w:numPr>
        <w:jc w:val="left"/>
      </w:pPr>
      <w:r w:rsidRPr="00984578">
        <w:t>be worried that complaining will lead to repercussions from staff providing the service</w:t>
      </w:r>
    </w:p>
    <w:p w:rsidR="00B7618A" w:rsidRPr="00984578" w:rsidRDefault="00B7618A" w:rsidP="006538C2">
      <w:pPr>
        <w:pStyle w:val="ListParagraph"/>
        <w:numPr>
          <w:ilvl w:val="0"/>
          <w:numId w:val="3"/>
        </w:numPr>
        <w:jc w:val="left"/>
      </w:pPr>
      <w:proofErr w:type="gramStart"/>
      <w:r w:rsidRPr="00984578">
        <w:t>find</w:t>
      </w:r>
      <w:proofErr w:type="gramEnd"/>
      <w:r w:rsidRPr="00984578">
        <w:t xml:space="preserve"> it difficult to speak out because of their level of communication skills, their racial, cultural or religious background or their age, gender or sexual orientation.</w:t>
      </w:r>
    </w:p>
    <w:p w:rsidR="00B7618A" w:rsidRPr="00984578" w:rsidRDefault="00B7618A" w:rsidP="006538C2">
      <w:pPr>
        <w:jc w:val="left"/>
      </w:pPr>
    </w:p>
    <w:p w:rsidR="00B7618A" w:rsidRPr="00984578" w:rsidRDefault="00B7618A" w:rsidP="006538C2">
      <w:pPr>
        <w:jc w:val="left"/>
      </w:pPr>
      <w:r w:rsidRPr="00984578">
        <w:t>Nugent wants all users of its’ services to feel confident that their views will be taken seriously, and that there will be no repercussions if they need to raise genuine concerns.</w:t>
      </w:r>
    </w:p>
    <w:p w:rsidR="003C6C5F" w:rsidRPr="00984578" w:rsidRDefault="003C6C5F" w:rsidP="006538C2">
      <w:pPr>
        <w:jc w:val="left"/>
      </w:pPr>
    </w:p>
    <w:p w:rsidR="00B7618A" w:rsidRPr="00984578" w:rsidRDefault="00B7618A" w:rsidP="006538C2">
      <w:pPr>
        <w:pStyle w:val="Heading1"/>
        <w:jc w:val="left"/>
      </w:pPr>
      <w:bookmarkStart w:id="2" w:name="_Toc481480469"/>
      <w:r w:rsidRPr="00984578">
        <w:t>The Three Stage Process</w:t>
      </w:r>
      <w:bookmarkEnd w:id="2"/>
    </w:p>
    <w:p w:rsidR="00E2382E" w:rsidRPr="00984578" w:rsidRDefault="00E2382E" w:rsidP="006538C2">
      <w:pPr>
        <w:jc w:val="left"/>
      </w:pPr>
    </w:p>
    <w:p w:rsidR="00B7618A" w:rsidRPr="00984578" w:rsidRDefault="00B7618A" w:rsidP="006538C2">
      <w:pPr>
        <w:jc w:val="left"/>
      </w:pPr>
      <w:r w:rsidRPr="00984578">
        <w:t xml:space="preserve">We encourage all staff to respond quickly and clearly </w:t>
      </w:r>
      <w:proofErr w:type="gramStart"/>
      <w:r w:rsidRPr="00984578">
        <w:t>to</w:t>
      </w:r>
      <w:proofErr w:type="gramEnd"/>
      <w:r w:rsidRPr="00984578">
        <w:t xml:space="preserve"> any concerns that are raised by service users or their </w:t>
      </w:r>
      <w:r w:rsidR="00E2382E" w:rsidRPr="00984578">
        <w:t>relatives</w:t>
      </w:r>
      <w:r w:rsidRPr="00984578">
        <w:t xml:space="preserve">. However, it is not always possible to </w:t>
      </w:r>
      <w:r w:rsidR="00413BCF" w:rsidRPr="00984578">
        <w:t>solve</w:t>
      </w:r>
      <w:r w:rsidRPr="00984578">
        <w:t xml:space="preserve"> problems this way. There are times when a more detailed investigation is required.</w:t>
      </w:r>
    </w:p>
    <w:p w:rsidR="00B7618A" w:rsidRPr="00984578" w:rsidRDefault="00B7618A" w:rsidP="006538C2">
      <w:pPr>
        <w:jc w:val="left"/>
      </w:pPr>
    </w:p>
    <w:p w:rsidR="00B7618A" w:rsidRPr="00984578" w:rsidRDefault="00B7618A" w:rsidP="006538C2">
      <w:pPr>
        <w:jc w:val="left"/>
      </w:pPr>
      <w:r w:rsidRPr="00984578">
        <w:t>Stage 1:</w:t>
      </w:r>
    </w:p>
    <w:p w:rsidR="00B7618A" w:rsidRPr="00984578" w:rsidRDefault="00B7618A" w:rsidP="006538C2">
      <w:pPr>
        <w:jc w:val="left"/>
      </w:pPr>
      <w:r w:rsidRPr="00984578">
        <w:t>We aim to resolve most complaints as close as possible to where the problem first arose. Local staff are responsible for responding as quickly as possible to problems. We aim to respond to complaints at this stage within 10 working days, and to resolve as many complaints as we can at Stage 1</w:t>
      </w:r>
      <w:r w:rsidR="000461EB" w:rsidRPr="00984578">
        <w:t>.</w:t>
      </w:r>
    </w:p>
    <w:p w:rsidR="000461EB" w:rsidRDefault="000461EB" w:rsidP="006538C2">
      <w:pPr>
        <w:jc w:val="left"/>
      </w:pPr>
    </w:p>
    <w:p w:rsidR="006538C2" w:rsidRDefault="006538C2" w:rsidP="006538C2">
      <w:pPr>
        <w:jc w:val="left"/>
      </w:pPr>
    </w:p>
    <w:p w:rsidR="006538C2" w:rsidRDefault="006538C2" w:rsidP="006538C2">
      <w:pPr>
        <w:jc w:val="left"/>
      </w:pPr>
    </w:p>
    <w:p w:rsidR="006538C2" w:rsidRPr="00984578" w:rsidRDefault="006538C2" w:rsidP="006538C2">
      <w:pPr>
        <w:jc w:val="left"/>
      </w:pPr>
      <w:bookmarkStart w:id="3" w:name="_GoBack"/>
      <w:bookmarkEnd w:id="3"/>
    </w:p>
    <w:p w:rsidR="000461EB" w:rsidRPr="00984578" w:rsidRDefault="000461EB" w:rsidP="006538C2">
      <w:pPr>
        <w:jc w:val="left"/>
      </w:pPr>
      <w:r w:rsidRPr="00984578">
        <w:lastRenderedPageBreak/>
        <w:t>Stage 2:</w:t>
      </w:r>
    </w:p>
    <w:p w:rsidR="000461EB" w:rsidRPr="00984578" w:rsidRDefault="000461EB" w:rsidP="006538C2">
      <w:pPr>
        <w:jc w:val="left"/>
      </w:pPr>
      <w:r w:rsidRPr="00984578">
        <w:t>If someone</w:t>
      </w:r>
      <w:r w:rsidR="00A53D65" w:rsidRPr="00984578">
        <w:t xml:space="preserve"> is not happy with the outcome at Stage 1 they have the right to ask for the complaint to be investigated at Stage 2. People can also request an investigation at Stage 2 with</w:t>
      </w:r>
      <w:r w:rsidR="00413BCF" w:rsidRPr="00984578">
        <w:t>out having gone through Stage 1</w:t>
      </w:r>
      <w:r w:rsidR="00A53D65" w:rsidRPr="00984578">
        <w:t>.</w:t>
      </w:r>
    </w:p>
    <w:p w:rsidR="00A53D65" w:rsidRPr="00984578" w:rsidRDefault="00A53D65" w:rsidP="006538C2">
      <w:pPr>
        <w:jc w:val="left"/>
      </w:pPr>
    </w:p>
    <w:p w:rsidR="00A53D65" w:rsidRPr="00984578" w:rsidRDefault="00A53D65" w:rsidP="006538C2">
      <w:pPr>
        <w:jc w:val="left"/>
      </w:pPr>
      <w:r w:rsidRPr="00984578">
        <w:t>We aim to resolve a Stage 2 complaint within 25 working days or to a maximum of 65 working days with the agreement of the complainant.</w:t>
      </w:r>
    </w:p>
    <w:p w:rsidR="00A53D65" w:rsidRPr="00984578" w:rsidRDefault="00A53D65" w:rsidP="006538C2">
      <w:pPr>
        <w:jc w:val="left"/>
      </w:pPr>
    </w:p>
    <w:p w:rsidR="00A53D65" w:rsidRPr="00984578" w:rsidRDefault="00A53D65" w:rsidP="006538C2">
      <w:pPr>
        <w:jc w:val="left"/>
      </w:pPr>
      <w:r w:rsidRPr="00984578">
        <w:t>Stage 3</w:t>
      </w:r>
      <w:r w:rsidR="00392EC9" w:rsidRPr="00984578">
        <w:t>:</w:t>
      </w:r>
    </w:p>
    <w:p w:rsidR="00A53D65" w:rsidRPr="00984578" w:rsidRDefault="00A53D65" w:rsidP="006538C2">
      <w:pPr>
        <w:jc w:val="left"/>
      </w:pPr>
      <w:r w:rsidRPr="00984578">
        <w:t xml:space="preserve">If a complainant is dissatisfied with the investigation at Stage 2 they must put their reasons in writing and request a Review. </w:t>
      </w:r>
      <w:r w:rsidR="00413BCF" w:rsidRPr="00984578">
        <w:t>Two senior members of staff</w:t>
      </w:r>
      <w:r w:rsidR="008709A9" w:rsidRPr="00984578">
        <w:t>,</w:t>
      </w:r>
      <w:r w:rsidR="00413BCF" w:rsidRPr="00984578">
        <w:t xml:space="preserve"> who have not been </w:t>
      </w:r>
      <w:r w:rsidR="008709A9" w:rsidRPr="00984578">
        <w:t>directly involved with the complaint,</w:t>
      </w:r>
      <w:r w:rsidRPr="00984578">
        <w:t xml:space="preserve"> will review the investigation documentation and notify the Complaints Manager of their recommendations. The Complaints Manager will then write to the complainant with their recommendations within 1</w:t>
      </w:r>
      <w:r w:rsidR="008709A9" w:rsidRPr="00984578">
        <w:t>0</w:t>
      </w:r>
      <w:r w:rsidRPr="00984578">
        <w:t xml:space="preserve"> days of the decision. This is the end of our complaints procedure.</w:t>
      </w:r>
    </w:p>
    <w:p w:rsidR="00392EC9" w:rsidRPr="00984578" w:rsidRDefault="00392EC9" w:rsidP="006538C2">
      <w:pPr>
        <w:jc w:val="left"/>
      </w:pPr>
    </w:p>
    <w:p w:rsidR="00392EC9" w:rsidRPr="00984578" w:rsidRDefault="00392EC9" w:rsidP="006538C2">
      <w:pPr>
        <w:jc w:val="left"/>
      </w:pPr>
      <w:r w:rsidRPr="00984578">
        <w:t xml:space="preserve">When </w:t>
      </w:r>
      <w:r w:rsidR="008709A9" w:rsidRPr="00984578">
        <w:t xml:space="preserve">the Nugent </w:t>
      </w:r>
      <w:r w:rsidRPr="00984578">
        <w:t xml:space="preserve">complaints procedure has been exhausted, </w:t>
      </w:r>
      <w:r w:rsidR="00342889" w:rsidRPr="00984578">
        <w:t>individuals</w:t>
      </w:r>
      <w:r w:rsidRPr="00984578">
        <w:t xml:space="preserve"> may ask for their complaint to be looked </w:t>
      </w:r>
      <w:r w:rsidR="008709A9" w:rsidRPr="00984578">
        <w:t>at by the Local Government Ombudsman, the Care Quality Commission (CQC), or the Office for Standards in Education (</w:t>
      </w:r>
      <w:proofErr w:type="spellStart"/>
      <w:r w:rsidR="008709A9" w:rsidRPr="00984578">
        <w:t>Ofsted</w:t>
      </w:r>
      <w:proofErr w:type="spellEnd"/>
      <w:r w:rsidR="008709A9" w:rsidRPr="00984578">
        <w:t>), if a regulated service, or the Local Authority if the service is funded by them, whichever is appropriate.</w:t>
      </w:r>
      <w:r w:rsidR="00BF5275" w:rsidRPr="00984578">
        <w:t xml:space="preserve"> </w:t>
      </w:r>
    </w:p>
    <w:p w:rsidR="00A53D65" w:rsidRPr="00984578" w:rsidRDefault="007072E8" w:rsidP="006538C2">
      <w:pPr>
        <w:pStyle w:val="Heading1"/>
        <w:jc w:val="left"/>
      </w:pPr>
      <w:bookmarkStart w:id="4" w:name="_Toc481480470"/>
      <w:r w:rsidRPr="00984578">
        <w:t xml:space="preserve">How </w:t>
      </w:r>
      <w:r w:rsidR="00174A2D">
        <w:t xml:space="preserve">Nugent </w:t>
      </w:r>
      <w:r w:rsidRPr="00984578">
        <w:t>listen</w:t>
      </w:r>
      <w:r w:rsidR="00647938">
        <w:t>s</w:t>
      </w:r>
      <w:r w:rsidRPr="00984578">
        <w:t xml:space="preserve"> to what people </w:t>
      </w:r>
      <w:r w:rsidR="00647938">
        <w:t>say about its</w:t>
      </w:r>
      <w:r w:rsidRPr="00984578">
        <w:t xml:space="preserve"> services</w:t>
      </w:r>
      <w:bookmarkEnd w:id="4"/>
    </w:p>
    <w:p w:rsidR="00E2382E" w:rsidRPr="00984578" w:rsidRDefault="00E2382E" w:rsidP="006538C2">
      <w:pPr>
        <w:jc w:val="left"/>
      </w:pPr>
    </w:p>
    <w:p w:rsidR="007072E8" w:rsidRPr="00984578" w:rsidRDefault="007072E8" w:rsidP="006538C2">
      <w:pPr>
        <w:jc w:val="left"/>
      </w:pPr>
      <w:r w:rsidRPr="00984578">
        <w:t xml:space="preserve">Information is provided at all our </w:t>
      </w:r>
      <w:r w:rsidR="005F4EF7" w:rsidRPr="00984578">
        <w:t>services</w:t>
      </w:r>
      <w:r w:rsidRPr="00984578">
        <w:t xml:space="preserve"> on how to ma</w:t>
      </w:r>
      <w:r w:rsidR="00174A2D">
        <w:t>ke a complaint or compliment. Nugent</w:t>
      </w:r>
      <w:r w:rsidR="00647938">
        <w:t xml:space="preserve"> also has</w:t>
      </w:r>
      <w:r w:rsidRPr="00984578">
        <w:t xml:space="preserve"> a </w:t>
      </w:r>
      <w:r w:rsidR="00BA2B8C" w:rsidRPr="00984578">
        <w:t>facility</w:t>
      </w:r>
      <w:r w:rsidRPr="00984578">
        <w:t xml:space="preserve"> on our website</w:t>
      </w:r>
      <w:r w:rsidR="00BA2B8C" w:rsidRPr="00984578">
        <w:t xml:space="preserve"> for people to make a complaint electronically. Although the number of complaints made through the website </w:t>
      </w:r>
      <w:r w:rsidR="00415613" w:rsidRPr="00984578">
        <w:t>continues to be</w:t>
      </w:r>
      <w:r w:rsidR="00174A2D">
        <w:t xml:space="preserve"> very small Nugent</w:t>
      </w:r>
      <w:r w:rsidR="00BA2B8C" w:rsidRPr="00984578">
        <w:t xml:space="preserve"> feel that it is important to give our service users</w:t>
      </w:r>
      <w:r w:rsidR="006B560F" w:rsidRPr="00984578">
        <w:t xml:space="preserve">, </w:t>
      </w:r>
      <w:r w:rsidR="00BA2B8C" w:rsidRPr="00984578">
        <w:t xml:space="preserve">their families </w:t>
      </w:r>
      <w:r w:rsidR="006B560F" w:rsidRPr="00984578">
        <w:t xml:space="preserve">and stakeholders </w:t>
      </w:r>
      <w:r w:rsidR="00BA2B8C" w:rsidRPr="00984578">
        <w:t xml:space="preserve">a variety of ways that they can </w:t>
      </w:r>
      <w:r w:rsidR="00342889" w:rsidRPr="00984578">
        <w:t>bring issues to our attention</w:t>
      </w:r>
      <w:r w:rsidR="00BA2B8C" w:rsidRPr="00984578">
        <w:t>.</w:t>
      </w:r>
    </w:p>
    <w:p w:rsidR="007072E8" w:rsidRPr="00984578" w:rsidRDefault="007072E8" w:rsidP="006538C2">
      <w:pPr>
        <w:jc w:val="left"/>
      </w:pPr>
    </w:p>
    <w:p w:rsidR="005959F2" w:rsidRPr="00984578" w:rsidRDefault="007072E8" w:rsidP="006538C2">
      <w:pPr>
        <w:jc w:val="left"/>
      </w:pPr>
      <w:r w:rsidRPr="00984578">
        <w:lastRenderedPageBreak/>
        <w:t xml:space="preserve">The majority of complaints received by Nugent are reported verbally by service users or their families. </w:t>
      </w:r>
    </w:p>
    <w:p w:rsidR="00A062F5" w:rsidRPr="00984578" w:rsidRDefault="00A062F5" w:rsidP="006538C2">
      <w:pPr>
        <w:jc w:val="left"/>
      </w:pPr>
    </w:p>
    <w:p w:rsidR="005959F2" w:rsidRPr="00984578" w:rsidRDefault="005959F2" w:rsidP="006538C2">
      <w:pPr>
        <w:jc w:val="left"/>
      </w:pPr>
      <w:r w:rsidRPr="00984578">
        <w:t xml:space="preserve">The service users </w:t>
      </w:r>
      <w:r w:rsidR="00BA2B8C" w:rsidRPr="00984578">
        <w:t>in each of our services</w:t>
      </w:r>
      <w:r w:rsidR="00382C3C" w:rsidRPr="00984578">
        <w:t>,</w:t>
      </w:r>
      <w:r w:rsidR="00BA2B8C" w:rsidRPr="00984578">
        <w:t xml:space="preserve"> </w:t>
      </w:r>
      <w:r w:rsidRPr="00984578">
        <w:t xml:space="preserve">and </w:t>
      </w:r>
      <w:r w:rsidR="00BA2B8C" w:rsidRPr="00984578">
        <w:t xml:space="preserve">the </w:t>
      </w:r>
      <w:r w:rsidRPr="00984578">
        <w:t>relatives/</w:t>
      </w:r>
      <w:proofErr w:type="spellStart"/>
      <w:r w:rsidRPr="00984578">
        <w:t>carers</w:t>
      </w:r>
      <w:proofErr w:type="spellEnd"/>
      <w:r w:rsidRPr="00984578">
        <w:t xml:space="preserve"> </w:t>
      </w:r>
      <w:r w:rsidR="00BA2B8C" w:rsidRPr="00984578">
        <w:t>of those service users who are unable to complete a survey</w:t>
      </w:r>
      <w:r w:rsidR="00382C3C" w:rsidRPr="00984578">
        <w:t>,</w:t>
      </w:r>
      <w:r w:rsidRPr="00984578">
        <w:t xml:space="preserve"> receive a satisfaction survey once a year. In the surveys </w:t>
      </w:r>
      <w:r w:rsidR="00A062F5" w:rsidRPr="00984578">
        <w:t>service users and relatives</w:t>
      </w:r>
      <w:r w:rsidRPr="00984578">
        <w:t xml:space="preserve"> are free to comment on how they </w:t>
      </w:r>
      <w:r w:rsidR="005F4EF7" w:rsidRPr="00984578">
        <w:t>feel about</w:t>
      </w:r>
      <w:r w:rsidR="00C651D9">
        <w:t xml:space="preserve"> the services that Nugent</w:t>
      </w:r>
      <w:r w:rsidRPr="00984578">
        <w:t xml:space="preserve"> provides. </w:t>
      </w:r>
    </w:p>
    <w:p w:rsidR="005959F2" w:rsidRPr="00984578" w:rsidRDefault="005959F2" w:rsidP="006538C2">
      <w:pPr>
        <w:jc w:val="left"/>
      </w:pPr>
    </w:p>
    <w:p w:rsidR="005959F2" w:rsidRPr="00984578" w:rsidRDefault="00174A2D" w:rsidP="006538C2">
      <w:pPr>
        <w:jc w:val="left"/>
      </w:pPr>
      <w:r>
        <w:t xml:space="preserve">Nugent </w:t>
      </w:r>
      <w:r w:rsidR="005959F2" w:rsidRPr="00984578">
        <w:t xml:space="preserve">have found that the most effective way of </w:t>
      </w:r>
      <w:r w:rsidR="00382C3C" w:rsidRPr="00984578">
        <w:t>capturing</w:t>
      </w:r>
      <w:r w:rsidR="005959F2" w:rsidRPr="00984578">
        <w:t xml:space="preserve"> compliments </w:t>
      </w:r>
      <w:r w:rsidR="001F660F" w:rsidRPr="00984578">
        <w:t xml:space="preserve">continues to be </w:t>
      </w:r>
      <w:r w:rsidR="005959F2" w:rsidRPr="00984578">
        <w:t>through the analysis of the satisfaction surveys. All comments on the surveys are recorded and repor</w:t>
      </w:r>
      <w:r w:rsidR="00382C3C" w:rsidRPr="00984578">
        <w:t>ted back to the service</w:t>
      </w:r>
      <w:r w:rsidR="00F56C9E" w:rsidRPr="00984578">
        <w:t xml:space="preserve"> manager</w:t>
      </w:r>
      <w:r w:rsidR="005959F2" w:rsidRPr="00984578">
        <w:t>.</w:t>
      </w:r>
      <w:r w:rsidR="00382C3C" w:rsidRPr="00984578">
        <w:t xml:space="preserve"> </w:t>
      </w:r>
    </w:p>
    <w:p w:rsidR="009A7817" w:rsidRPr="00984578" w:rsidRDefault="009A7817" w:rsidP="006538C2">
      <w:pPr>
        <w:jc w:val="left"/>
      </w:pPr>
    </w:p>
    <w:p w:rsidR="009A7817" w:rsidRPr="00984578" w:rsidRDefault="009A7817" w:rsidP="006538C2">
      <w:pPr>
        <w:jc w:val="left"/>
      </w:pPr>
      <w:r w:rsidRPr="00984578">
        <w:t>The homes also receive thank you cards and letters which are made available to the QA Officers when on site.</w:t>
      </w:r>
    </w:p>
    <w:p w:rsidR="00FC673A" w:rsidRPr="00984578" w:rsidRDefault="00705E9A" w:rsidP="008A29ED">
      <w:pPr>
        <w:pStyle w:val="Heading1"/>
      </w:pPr>
      <w:r w:rsidRPr="00984578">
        <w:br w:type="page"/>
      </w:r>
      <w:bookmarkStart w:id="5" w:name="_Toc481480471"/>
      <w:r w:rsidR="00FC673A" w:rsidRPr="00984578">
        <w:lastRenderedPageBreak/>
        <w:t xml:space="preserve">Comparison of complaints </w:t>
      </w:r>
      <w:r w:rsidR="00AD7F78" w:rsidRPr="00984578">
        <w:t>20</w:t>
      </w:r>
      <w:r w:rsidR="002A46B5" w:rsidRPr="00984578">
        <w:t>1</w:t>
      </w:r>
      <w:r w:rsidR="00B31870" w:rsidRPr="00984578">
        <w:t>5/16</w:t>
      </w:r>
      <w:r w:rsidR="00FC673A" w:rsidRPr="00984578">
        <w:t xml:space="preserve"> and </w:t>
      </w:r>
      <w:r w:rsidR="00A062F5" w:rsidRPr="00984578">
        <w:t>201</w:t>
      </w:r>
      <w:r w:rsidR="00B31870" w:rsidRPr="00984578">
        <w:t>6/17</w:t>
      </w:r>
      <w:bookmarkEnd w:id="5"/>
    </w:p>
    <w:p w:rsidR="00E173DC" w:rsidRPr="00984578" w:rsidRDefault="00E173DC" w:rsidP="008A29ED"/>
    <w:p w:rsidR="0002279D" w:rsidRPr="00984578" w:rsidRDefault="00FC673A" w:rsidP="008A29ED">
      <w:r w:rsidRPr="00984578">
        <w:t xml:space="preserve">A comparison has been made between the number of recorded </w:t>
      </w:r>
      <w:r w:rsidR="001F660F" w:rsidRPr="00984578">
        <w:t>complaints in 201</w:t>
      </w:r>
      <w:r w:rsidR="00B31870" w:rsidRPr="00984578">
        <w:t>5/16</w:t>
      </w:r>
      <w:r w:rsidR="00A062F5" w:rsidRPr="00984578">
        <w:t xml:space="preserve"> and 201</w:t>
      </w:r>
      <w:r w:rsidR="00B31870" w:rsidRPr="00984578">
        <w:t>6/17</w:t>
      </w:r>
      <w:r w:rsidRPr="00984578">
        <w:t xml:space="preserve">. The total number of complaints between these years has </w:t>
      </w:r>
      <w:r w:rsidR="00B31870" w:rsidRPr="00984578">
        <w:t>de</w:t>
      </w:r>
      <w:r w:rsidR="00A062F5" w:rsidRPr="00984578">
        <w:t>creased</w:t>
      </w:r>
      <w:r w:rsidRPr="00984578">
        <w:t xml:space="preserve"> from </w:t>
      </w:r>
      <w:r w:rsidR="00B31870" w:rsidRPr="00984578">
        <w:t>80</w:t>
      </w:r>
      <w:r w:rsidRPr="00984578">
        <w:t xml:space="preserve"> in </w:t>
      </w:r>
      <w:r w:rsidR="00AD7F78" w:rsidRPr="00984578">
        <w:t>20</w:t>
      </w:r>
      <w:r w:rsidR="00F17F03" w:rsidRPr="00984578">
        <w:t>1</w:t>
      </w:r>
      <w:r w:rsidR="000D7E9F" w:rsidRPr="00984578">
        <w:t>5/16</w:t>
      </w:r>
      <w:r w:rsidRPr="00984578">
        <w:t xml:space="preserve"> to </w:t>
      </w:r>
      <w:r w:rsidR="00B31870" w:rsidRPr="00984578">
        <w:t>74</w:t>
      </w:r>
      <w:r w:rsidRPr="00984578">
        <w:t xml:space="preserve"> in </w:t>
      </w:r>
      <w:r w:rsidR="00A062F5" w:rsidRPr="00984578">
        <w:t>201</w:t>
      </w:r>
      <w:r w:rsidR="000D7E9F" w:rsidRPr="00984578">
        <w:t>6/17</w:t>
      </w:r>
      <w:r w:rsidRPr="00984578">
        <w:t>.</w:t>
      </w:r>
      <w:r w:rsidR="00947A41" w:rsidRPr="00984578">
        <w:t xml:space="preserve"> </w:t>
      </w:r>
    </w:p>
    <w:p w:rsidR="000D7E9F" w:rsidRPr="00984578" w:rsidRDefault="000D7E9F" w:rsidP="008A29ED">
      <w:pPr>
        <w:rPr>
          <w:noProof/>
          <w:lang w:eastAsia="en-GB"/>
        </w:rPr>
      </w:pPr>
    </w:p>
    <w:p w:rsidR="000D7E9F" w:rsidRPr="00984578" w:rsidRDefault="000D7E9F" w:rsidP="008A29ED">
      <w:pPr>
        <w:rPr>
          <w:noProof/>
          <w:lang w:eastAsia="en-GB"/>
        </w:rPr>
      </w:pPr>
      <w:r w:rsidRPr="00984578">
        <w:rPr>
          <w:noProof/>
          <w:lang w:eastAsia="en-GB"/>
        </w:rPr>
        <w:t>There has been an increase in the number of complaints reported at Adoption, Clumber Care, Head Office, James Nugent Court, Margret Roper House, New B</w:t>
      </w:r>
      <w:r w:rsidR="00C00524">
        <w:rPr>
          <w:noProof/>
          <w:lang w:eastAsia="en-GB"/>
        </w:rPr>
        <w:t>eg</w:t>
      </w:r>
      <w:r w:rsidRPr="00984578">
        <w:rPr>
          <w:noProof/>
          <w:lang w:eastAsia="en-GB"/>
        </w:rPr>
        <w:t xml:space="preserve">inings, Nugent House, Public Complaints and School Social work. The largest increase has been for </w:t>
      </w:r>
      <w:r w:rsidR="00D73066" w:rsidRPr="00984578">
        <w:rPr>
          <w:noProof/>
          <w:lang w:eastAsia="en-GB"/>
        </w:rPr>
        <w:t>James Nugent Court with seven</w:t>
      </w:r>
      <w:r w:rsidRPr="00984578">
        <w:rPr>
          <w:noProof/>
          <w:lang w:eastAsia="en-GB"/>
        </w:rPr>
        <w:t xml:space="preserve"> more co</w:t>
      </w:r>
      <w:r w:rsidR="00D73066" w:rsidRPr="00984578">
        <w:rPr>
          <w:noProof/>
          <w:lang w:eastAsia="en-GB"/>
        </w:rPr>
        <w:t xml:space="preserve">mplaints. </w:t>
      </w:r>
      <w:r w:rsidR="00312869">
        <w:rPr>
          <w:noProof/>
          <w:lang w:eastAsia="en-GB"/>
        </w:rPr>
        <w:t>Some services had theIr first complaint in one or more years, others w</w:t>
      </w:r>
      <w:r w:rsidR="009C566D" w:rsidRPr="00984578">
        <w:rPr>
          <w:noProof/>
          <w:lang w:eastAsia="en-GB"/>
        </w:rPr>
        <w:t>ere small increases</w:t>
      </w:r>
      <w:r w:rsidR="00D73066" w:rsidRPr="00984578">
        <w:rPr>
          <w:noProof/>
          <w:lang w:eastAsia="en-GB"/>
        </w:rPr>
        <w:t>.</w:t>
      </w:r>
      <w:r w:rsidR="009C566D" w:rsidRPr="00984578">
        <w:rPr>
          <w:noProof/>
          <w:lang w:eastAsia="en-GB"/>
        </w:rPr>
        <w:t xml:space="preserve"> </w:t>
      </w:r>
      <w:r w:rsidR="00D73066" w:rsidRPr="00984578">
        <w:rPr>
          <w:noProof/>
          <w:lang w:eastAsia="en-GB"/>
        </w:rPr>
        <w:t>St.Catheri</w:t>
      </w:r>
      <w:r w:rsidR="00312869">
        <w:rPr>
          <w:noProof/>
          <w:lang w:eastAsia="en-GB"/>
        </w:rPr>
        <w:t>nes had a decrease in</w:t>
      </w:r>
      <w:r w:rsidR="00D73066" w:rsidRPr="00984578">
        <w:rPr>
          <w:noProof/>
          <w:lang w:eastAsia="en-GB"/>
        </w:rPr>
        <w:t xml:space="preserve"> complaints, dropping from 56 to 40. </w:t>
      </w:r>
      <w:r w:rsidR="0028397F" w:rsidRPr="00984578">
        <w:rPr>
          <w:noProof/>
          <w:lang w:eastAsia="en-GB"/>
        </w:rPr>
        <w:t xml:space="preserve">(See appendix 1 for table view) </w:t>
      </w:r>
    </w:p>
    <w:p w:rsidR="00A062F5" w:rsidRPr="00984578" w:rsidRDefault="00A062F5" w:rsidP="008A29ED">
      <w:pPr>
        <w:rPr>
          <w:noProof/>
          <w:lang w:eastAsia="en-GB"/>
        </w:rPr>
      </w:pPr>
    </w:p>
    <w:p w:rsidR="00A062F5" w:rsidRPr="00984578" w:rsidRDefault="00A062F5" w:rsidP="008A29ED">
      <w:pPr>
        <w:rPr>
          <w:noProof/>
          <w:lang w:eastAsia="en-GB"/>
        </w:rPr>
      </w:pPr>
    </w:p>
    <w:p w:rsidR="004A0327" w:rsidRPr="00984578" w:rsidRDefault="0001342B" w:rsidP="008A29ED">
      <w:r w:rsidRPr="00984578">
        <w:rPr>
          <w:noProof/>
          <w:lang w:val="en-GB" w:eastAsia="en-GB"/>
        </w:rPr>
        <w:drawing>
          <wp:inline distT="0" distB="0" distL="0" distR="0" wp14:anchorId="7398FCF5" wp14:editId="4F2D26A8">
            <wp:extent cx="5278120" cy="3437255"/>
            <wp:effectExtent l="0" t="0" r="1778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6044" w:rsidRPr="00984578" w:rsidRDefault="002B2321" w:rsidP="008A29ED">
      <w:pPr>
        <w:pStyle w:val="Heading1"/>
      </w:pPr>
      <w:r w:rsidRPr="00984578">
        <w:rPr>
          <w:kern w:val="0"/>
          <w:sz w:val="24"/>
          <w:szCs w:val="24"/>
        </w:rPr>
        <w:br w:type="page"/>
      </w:r>
      <w:bookmarkStart w:id="6" w:name="_Toc481480472"/>
      <w:r w:rsidR="00CE6044" w:rsidRPr="00984578">
        <w:lastRenderedPageBreak/>
        <w:t>Categories of complaints</w:t>
      </w:r>
      <w:bookmarkEnd w:id="6"/>
    </w:p>
    <w:p w:rsidR="009B51A9" w:rsidRPr="00984578" w:rsidRDefault="008D3C13" w:rsidP="008A29ED">
      <w:r w:rsidRPr="00984578">
        <w:rPr>
          <w:noProof/>
          <w:lang w:val="en-GB" w:eastAsia="en-GB"/>
        </w:rPr>
        <w:drawing>
          <wp:anchor distT="0" distB="0" distL="114300" distR="114300" simplePos="0" relativeHeight="251661312" behindDoc="1" locked="0" layoutInCell="1" allowOverlap="1" wp14:anchorId="1230EB5A" wp14:editId="79C199E2">
            <wp:simplePos x="0" y="0"/>
            <wp:positionH relativeFrom="margin">
              <wp:align>center</wp:align>
            </wp:positionH>
            <wp:positionV relativeFrom="paragraph">
              <wp:posOffset>241300</wp:posOffset>
            </wp:positionV>
            <wp:extent cx="5821045" cy="3762375"/>
            <wp:effectExtent l="0" t="0" r="8255" b="9525"/>
            <wp:wrapTight wrapText="bothSides">
              <wp:wrapPolygon edited="0">
                <wp:start x="0" y="0"/>
                <wp:lineTo x="0" y="21545"/>
                <wp:lineTo x="21560" y="21545"/>
                <wp:lineTo x="2156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CE6044" w:rsidRPr="00984578" w:rsidRDefault="00CE6044" w:rsidP="008A29ED"/>
    <w:p w:rsidR="002842E5" w:rsidRPr="00984578" w:rsidRDefault="002842E5" w:rsidP="008A29ED"/>
    <w:p w:rsidR="0028397F" w:rsidRPr="00984578" w:rsidRDefault="0028397F" w:rsidP="008A29ED"/>
    <w:p w:rsidR="0028397F" w:rsidRPr="00984578" w:rsidRDefault="00A07037" w:rsidP="008A29ED">
      <w:r w:rsidRPr="00984578">
        <w:t xml:space="preserve">Nugent has looked at the types of complaints and </w:t>
      </w:r>
      <w:proofErr w:type="spellStart"/>
      <w:r w:rsidRPr="00984578">
        <w:t>categorised</w:t>
      </w:r>
      <w:proofErr w:type="spellEnd"/>
      <w:r w:rsidRPr="00984578">
        <w:t xml:space="preserve"> them into eighteen </w:t>
      </w:r>
      <w:r w:rsidR="00747F87">
        <w:t xml:space="preserve">main headings - </w:t>
      </w:r>
      <w:r w:rsidR="0036702F">
        <w:t>there were</w:t>
      </w:r>
      <w:r w:rsidRPr="00984578">
        <w:t xml:space="preserve"> </w:t>
      </w:r>
      <w:r w:rsidR="00747F87">
        <w:t xml:space="preserve">complaints in </w:t>
      </w:r>
      <w:r w:rsidRPr="00984578">
        <w:t>fourteen categories</w:t>
      </w:r>
      <w:r w:rsidR="00747F87">
        <w:t xml:space="preserve"> this year. There is one</w:t>
      </w:r>
      <w:r w:rsidR="0036702F">
        <w:t xml:space="preserve"> category</w:t>
      </w:r>
      <w:r w:rsidRPr="00984578">
        <w:t xml:space="preserve"> </w:t>
      </w:r>
      <w:r w:rsidR="00747F87">
        <w:t>entitled</w:t>
      </w:r>
      <w:r w:rsidRPr="00984578">
        <w:t xml:space="preserve"> “other” </w:t>
      </w:r>
      <w:r w:rsidR="00747F87">
        <w:t>and</w:t>
      </w:r>
      <w:r w:rsidRPr="00984578">
        <w:t xml:space="preserve"> this </w:t>
      </w:r>
      <w:r w:rsidR="00747F87">
        <w:t>contains</w:t>
      </w:r>
      <w:r w:rsidRPr="00984578">
        <w:t xml:space="preserve"> complain</w:t>
      </w:r>
      <w:r w:rsidR="00747F87">
        <w:t>t</w:t>
      </w:r>
      <w:r w:rsidRPr="00984578">
        <w:t>s having too few numbers to warrant its own complaint type. The category of vandalism has been included in this year’s</w:t>
      </w:r>
      <w:r w:rsidR="00DC32C7" w:rsidRPr="00984578">
        <w:t xml:space="preserve"> selection</w:t>
      </w:r>
      <w:r w:rsidRPr="00984578">
        <w:t xml:space="preserve">. </w:t>
      </w:r>
    </w:p>
    <w:p w:rsidR="00C31FC0" w:rsidRPr="00984578" w:rsidRDefault="00C31FC0" w:rsidP="008A29ED"/>
    <w:p w:rsidR="00002B22" w:rsidRPr="00984578" w:rsidRDefault="00002B22" w:rsidP="008A29ED">
      <w:r w:rsidRPr="00984578">
        <w:t>There was 1 complaint (1%) in the</w:t>
      </w:r>
      <w:r w:rsidR="00C16CAA" w:rsidRPr="00984578">
        <w:t xml:space="preserve"> A</w:t>
      </w:r>
      <w:r w:rsidR="00747F87">
        <w:t>ctivities category, coming from one young service user</w:t>
      </w:r>
      <w:r w:rsidRPr="00984578">
        <w:t>. This young person</w:t>
      </w:r>
      <w:r w:rsidR="00747F87">
        <w:t xml:space="preserve"> wanted more activities </w:t>
      </w:r>
      <w:r w:rsidRPr="00984578">
        <w:t xml:space="preserve">to do on the weekends, however </w:t>
      </w:r>
      <w:r w:rsidR="008F5CF0" w:rsidRPr="00984578">
        <w:t>this was not upheld</w:t>
      </w:r>
      <w:r w:rsidRPr="00984578">
        <w:t xml:space="preserve"> due to </w:t>
      </w:r>
      <w:proofErr w:type="spellStart"/>
      <w:r w:rsidRPr="00984578">
        <w:t>behavio</w:t>
      </w:r>
      <w:r w:rsidR="00747F87">
        <w:t>u</w:t>
      </w:r>
      <w:r w:rsidRPr="00984578">
        <w:t>ral</w:t>
      </w:r>
      <w:proofErr w:type="spellEnd"/>
      <w:r w:rsidRPr="00984578">
        <w:t xml:space="preserve"> issues.  </w:t>
      </w:r>
    </w:p>
    <w:p w:rsidR="00C31FC0" w:rsidRPr="00984578" w:rsidRDefault="00C31FC0" w:rsidP="008A29ED"/>
    <w:p w:rsidR="00573B29" w:rsidRPr="00984578" w:rsidRDefault="00002B22" w:rsidP="008A29ED">
      <w:pPr>
        <w:pStyle w:val="Header"/>
      </w:pPr>
      <w:r w:rsidRPr="00984578">
        <w:t>There w</w:t>
      </w:r>
      <w:r w:rsidR="00631854" w:rsidRPr="00984578">
        <w:t>ere 15 complaints (20</w:t>
      </w:r>
      <w:r w:rsidR="00C16CAA" w:rsidRPr="00984578">
        <w:t xml:space="preserve">%) in the </w:t>
      </w:r>
      <w:proofErr w:type="spellStart"/>
      <w:r w:rsidR="00C16CAA" w:rsidRPr="00984578">
        <w:t>B</w:t>
      </w:r>
      <w:r w:rsidRPr="00984578">
        <w:t>ehavio</w:t>
      </w:r>
      <w:r w:rsidR="00C16CAA" w:rsidRPr="00984578">
        <w:t>u</w:t>
      </w:r>
      <w:r w:rsidRPr="00984578">
        <w:t>ral</w:t>
      </w:r>
      <w:proofErr w:type="spellEnd"/>
      <w:r w:rsidRPr="00984578">
        <w:t xml:space="preserve"> category.</w:t>
      </w:r>
      <w:r w:rsidR="00DC32C7" w:rsidRPr="00984578">
        <w:t xml:space="preserve"> This type of complaint usually involves the </w:t>
      </w:r>
      <w:proofErr w:type="spellStart"/>
      <w:r w:rsidR="00DC32C7" w:rsidRPr="00984578">
        <w:t>behaviour</w:t>
      </w:r>
      <w:proofErr w:type="spellEnd"/>
      <w:r w:rsidR="00DC32C7" w:rsidRPr="00984578">
        <w:t xml:space="preserve"> of other service users (other than bullying).</w:t>
      </w:r>
      <w:r w:rsidRPr="00984578">
        <w:t xml:space="preserve"> </w:t>
      </w:r>
      <w:r w:rsidR="00DC32C7" w:rsidRPr="00984578">
        <w:t>All of the complaints in this category came from the childcare sector and mostly involved troublesome friendships, disruptive behavior</w:t>
      </w:r>
      <w:r w:rsidR="00507D20">
        <w:t xml:space="preserve"> and</w:t>
      </w:r>
      <w:r w:rsidR="00DC32C7" w:rsidRPr="00984578">
        <w:t xml:space="preserve"> stress</w:t>
      </w:r>
      <w:r w:rsidR="00507D20">
        <w:t>.</w:t>
      </w:r>
      <w:r w:rsidR="00DC32C7" w:rsidRPr="00984578">
        <w:t xml:space="preserve"> </w:t>
      </w:r>
      <w:r w:rsidR="00F72C5E" w:rsidRPr="00984578">
        <w:t xml:space="preserve">Three of these complaints where partially upheld, four were not upheld and the remaining eight were upheld. </w:t>
      </w:r>
    </w:p>
    <w:p w:rsidR="00DC32C7" w:rsidRPr="00984578" w:rsidRDefault="00DC32C7" w:rsidP="008A29ED"/>
    <w:p w:rsidR="00DC32C7" w:rsidRPr="00984578" w:rsidRDefault="00DC32C7" w:rsidP="008A29ED">
      <w:r w:rsidRPr="00984578">
        <w:t>The</w:t>
      </w:r>
      <w:r w:rsidR="00751885">
        <w:t>re were</w:t>
      </w:r>
      <w:r w:rsidR="00C16CAA" w:rsidRPr="00984578">
        <w:t xml:space="preserve"> 6 complaints (8%) about B</w:t>
      </w:r>
      <w:r w:rsidRPr="00984578">
        <w:t xml:space="preserve">ullying which came from the </w:t>
      </w:r>
      <w:r w:rsidR="00036F8D">
        <w:t>childcare</w:t>
      </w:r>
      <w:r w:rsidRPr="00984578">
        <w:t xml:space="preserve"> sector. </w:t>
      </w:r>
      <w:r w:rsidR="00303C9D" w:rsidRPr="00984578">
        <w:t>All of these complaint</w:t>
      </w:r>
      <w:r w:rsidR="00AB6178">
        <w:t>s</w:t>
      </w:r>
      <w:r w:rsidR="00303C9D" w:rsidRPr="00984578">
        <w:t xml:space="preserve"> are accounts of ve</w:t>
      </w:r>
      <w:r w:rsidR="00AB6178">
        <w:t>rbal bullying which</w:t>
      </w:r>
      <w:r w:rsidR="005B6E2E">
        <w:t xml:space="preserve"> </w:t>
      </w:r>
      <w:r w:rsidR="00303C9D" w:rsidRPr="00984578">
        <w:t xml:space="preserve">were resolved by speaking to the individuals involved, addressing the issues in forums and by staff monitoring the situations. All of these complaints were either upheld or partially upheld. </w:t>
      </w:r>
    </w:p>
    <w:p w:rsidR="00DC32C7" w:rsidRPr="00984578" w:rsidRDefault="00DC32C7" w:rsidP="008A29ED"/>
    <w:p w:rsidR="00C16CAA" w:rsidRDefault="00303C9D" w:rsidP="008A29ED">
      <w:r w:rsidRPr="00984578">
        <w:t xml:space="preserve">There was 1 </w:t>
      </w:r>
      <w:r w:rsidR="00C16CAA" w:rsidRPr="00984578">
        <w:t>complaint (1%) about C</w:t>
      </w:r>
      <w:r w:rsidRPr="00984578">
        <w:t xml:space="preserve">are which came from the </w:t>
      </w:r>
      <w:r w:rsidR="00036F8D">
        <w:t>childcare</w:t>
      </w:r>
      <w:r w:rsidRPr="00984578">
        <w:t xml:space="preserve"> sector. This complaint was not upheld</w:t>
      </w:r>
      <w:r w:rsidR="00AB6178">
        <w:t xml:space="preserve"> following a review of </w:t>
      </w:r>
      <w:r w:rsidRPr="00984578">
        <w:t>CCTV footage</w:t>
      </w:r>
      <w:r w:rsidR="00AB6178">
        <w:t>.</w:t>
      </w:r>
      <w:r w:rsidRPr="00984578">
        <w:t xml:space="preserve"> </w:t>
      </w:r>
    </w:p>
    <w:p w:rsidR="00AB6178" w:rsidRPr="00984578" w:rsidRDefault="00AB6178" w:rsidP="008A29ED"/>
    <w:p w:rsidR="00C16CAA" w:rsidRDefault="00C16CAA" w:rsidP="008A29ED">
      <w:r w:rsidRPr="00984578">
        <w:t xml:space="preserve">There was 1 complaint (1%) regarding Confidentiality from the </w:t>
      </w:r>
      <w:r w:rsidR="00036F8D">
        <w:t>childcare</w:t>
      </w:r>
      <w:r w:rsidRPr="00984578">
        <w:t xml:space="preserve"> sector. The young person felt that</w:t>
      </w:r>
      <w:r w:rsidR="00AB6178">
        <w:t xml:space="preserve"> personal</w:t>
      </w:r>
      <w:r w:rsidRPr="00984578">
        <w:t xml:space="preserve"> information </w:t>
      </w:r>
      <w:r w:rsidR="00AB6178">
        <w:t>had been</w:t>
      </w:r>
      <w:r w:rsidRPr="00984578">
        <w:t xml:space="preserve"> shared with other services u</w:t>
      </w:r>
      <w:r w:rsidR="00AB6178">
        <w:t>sers by a member of staff. The complaint</w:t>
      </w:r>
      <w:r w:rsidRPr="00984578">
        <w:t xml:space="preserve"> was not upheld</w:t>
      </w:r>
      <w:r w:rsidR="00AB6178">
        <w:t>.</w:t>
      </w:r>
      <w:r w:rsidRPr="00984578">
        <w:t xml:space="preserve"> </w:t>
      </w:r>
    </w:p>
    <w:p w:rsidR="00AB6178" w:rsidRPr="00984578" w:rsidRDefault="00AB6178" w:rsidP="008A29ED"/>
    <w:p w:rsidR="00C16CAA" w:rsidRPr="00984578" w:rsidRDefault="00C16CAA" w:rsidP="008A29ED">
      <w:r w:rsidRPr="00984578">
        <w:t xml:space="preserve">There was </w:t>
      </w:r>
      <w:r w:rsidR="00AB6178">
        <w:t xml:space="preserve">1 complaint (1%) regarding Fees when a service user was in hospital. </w:t>
      </w:r>
      <w:r w:rsidR="00383BCF" w:rsidRPr="00984578">
        <w:t xml:space="preserve"> This compl</w:t>
      </w:r>
      <w:r w:rsidR="00AB6178">
        <w:t>aint came from the adult sector</w:t>
      </w:r>
      <w:r w:rsidR="00383BCF" w:rsidRPr="00984578">
        <w:t xml:space="preserve">. </w:t>
      </w:r>
      <w:r w:rsidR="00AB6178">
        <w:t>The complaint was not upheld following a review of the signed service user contract.</w:t>
      </w:r>
    </w:p>
    <w:p w:rsidR="00C16CAA" w:rsidRPr="00984578" w:rsidRDefault="00C16CAA" w:rsidP="008A29ED"/>
    <w:p w:rsidR="00C16CAA" w:rsidRPr="00984578" w:rsidRDefault="00FB7432" w:rsidP="008A29ED">
      <w:r w:rsidRPr="00984578">
        <w:t xml:space="preserve">There was 1 complaint (1%) regarding Laundry by a </w:t>
      </w:r>
      <w:r w:rsidR="00A54746" w:rsidRPr="00984578">
        <w:t>resident’s</w:t>
      </w:r>
      <w:r w:rsidRPr="00984578">
        <w:t xml:space="preserve"> family </w:t>
      </w:r>
      <w:r w:rsidR="00AB6178">
        <w:t xml:space="preserve">in the adult sector. </w:t>
      </w:r>
      <w:r w:rsidRPr="00984578">
        <w:t>The complaint was upheld and the</w:t>
      </w:r>
      <w:r w:rsidR="0036702F">
        <w:t xml:space="preserve"> cost of damages was paid. </w:t>
      </w:r>
      <w:r w:rsidRPr="00984578">
        <w:t xml:space="preserve"> </w:t>
      </w:r>
    </w:p>
    <w:p w:rsidR="00C16CAA" w:rsidRPr="00984578" w:rsidRDefault="00C16CAA" w:rsidP="008A29ED"/>
    <w:p w:rsidR="00FB7432" w:rsidRPr="00984578" w:rsidRDefault="00AB6178" w:rsidP="008A29ED">
      <w:r>
        <w:t>There were</w:t>
      </w:r>
      <w:r w:rsidR="00FB7432" w:rsidRPr="00984578">
        <w:t xml:space="preserve"> 2 complaints (3%) </w:t>
      </w:r>
      <w:r w:rsidR="00A54746" w:rsidRPr="00984578">
        <w:t xml:space="preserve">regarding Medication, one from the </w:t>
      </w:r>
      <w:r w:rsidR="00036F8D">
        <w:t>childcare</w:t>
      </w:r>
      <w:r>
        <w:t xml:space="preserve"> sector and one in</w:t>
      </w:r>
      <w:r w:rsidR="00A54746" w:rsidRPr="00984578">
        <w:t xml:space="preserve"> the adult</w:t>
      </w:r>
      <w:r>
        <w:t xml:space="preserve"> sector</w:t>
      </w:r>
      <w:r w:rsidR="00A54746" w:rsidRPr="00984578">
        <w:t xml:space="preserve">. </w:t>
      </w:r>
      <w:r>
        <w:t>Both complaints were upheld and further investigations carried out.</w:t>
      </w:r>
    </w:p>
    <w:p w:rsidR="004D28A6" w:rsidRPr="00984578" w:rsidRDefault="004D28A6" w:rsidP="008A29ED"/>
    <w:p w:rsidR="008A7A1E" w:rsidRPr="00984578" w:rsidRDefault="008A7A1E" w:rsidP="008A29ED">
      <w:r w:rsidRPr="00984578">
        <w:t>T</w:t>
      </w:r>
      <w:r w:rsidR="006D7F98">
        <w:t>here were</w:t>
      </w:r>
      <w:r w:rsidR="00355E8C">
        <w:t xml:space="preserve"> 2</w:t>
      </w:r>
      <w:r w:rsidR="005E0F43" w:rsidRPr="00984578">
        <w:t xml:space="preserve"> complaint</w:t>
      </w:r>
      <w:r w:rsidR="00AB6178">
        <w:t>s</w:t>
      </w:r>
      <w:r w:rsidR="005E0F43" w:rsidRPr="00984578">
        <w:t xml:space="preserve"> (4</w:t>
      </w:r>
      <w:r w:rsidRPr="00984578">
        <w:t>%) regarding property</w:t>
      </w:r>
      <w:r w:rsidR="005E0F43" w:rsidRPr="00984578">
        <w:t xml:space="preserve"> from the </w:t>
      </w:r>
      <w:r w:rsidR="00036F8D">
        <w:t>childcare</w:t>
      </w:r>
      <w:r w:rsidR="005E0F43" w:rsidRPr="00984578">
        <w:t xml:space="preserve"> sector.</w:t>
      </w:r>
      <w:r w:rsidR="008D3C13" w:rsidRPr="00984578">
        <w:t xml:space="preserve"> </w:t>
      </w:r>
      <w:r w:rsidR="00AB6178">
        <w:t>One complaint was not uphe</w:t>
      </w:r>
      <w:r w:rsidR="00355E8C">
        <w:t>ld. As a result of the other complaint</w:t>
      </w:r>
      <w:r w:rsidR="00AB6178">
        <w:t xml:space="preserve"> being upheld, repairs were made to the property.</w:t>
      </w:r>
    </w:p>
    <w:p w:rsidR="009253DA" w:rsidRPr="00984578" w:rsidRDefault="009253DA" w:rsidP="008A29ED"/>
    <w:p w:rsidR="009253DA" w:rsidRPr="00984578" w:rsidRDefault="00AB6178" w:rsidP="008A29ED">
      <w:r>
        <w:t>There was 1 complaint</w:t>
      </w:r>
      <w:r w:rsidR="000F2136" w:rsidRPr="00984578">
        <w:t xml:space="preserve"> (1%) regarding relationships with staff. This complaint however was not upheld and </w:t>
      </w:r>
      <w:r>
        <w:t xml:space="preserve">the young person </w:t>
      </w:r>
      <w:proofErr w:type="spellStart"/>
      <w:r>
        <w:t>apologised</w:t>
      </w:r>
      <w:proofErr w:type="spellEnd"/>
      <w:r>
        <w:t xml:space="preserve"> for their</w:t>
      </w:r>
      <w:r w:rsidR="000F2136" w:rsidRPr="00984578">
        <w:t xml:space="preserve"> actions. </w:t>
      </w:r>
    </w:p>
    <w:p w:rsidR="009253DA" w:rsidRPr="00984578" w:rsidRDefault="009253DA" w:rsidP="008A29ED"/>
    <w:p w:rsidR="00064D02" w:rsidRPr="00984578" w:rsidRDefault="00AB6178" w:rsidP="008A29ED">
      <w:r>
        <w:t>There were</w:t>
      </w:r>
      <w:r w:rsidR="00064D02" w:rsidRPr="00984578">
        <w:t xml:space="preserve"> 2 complaints (3%) regarding relatio</w:t>
      </w:r>
      <w:r>
        <w:t>nships with other service users in</w:t>
      </w:r>
      <w:r w:rsidR="00064D02" w:rsidRPr="00984578">
        <w:t xml:space="preserve"> the childcare sector. Both </w:t>
      </w:r>
      <w:r w:rsidR="006C2244" w:rsidRPr="00984578">
        <w:t>incidences resolved by using repair and reflect meeting</w:t>
      </w:r>
      <w:r>
        <w:t>s</w:t>
      </w:r>
      <w:r w:rsidR="006C2244" w:rsidRPr="00984578">
        <w:t>, where the young people were made aware how their behavior was ups</w:t>
      </w:r>
      <w:r>
        <w:t>etting the other service user. Complaints were upheld.</w:t>
      </w:r>
      <w:r w:rsidR="00F72C5E" w:rsidRPr="00984578">
        <w:t xml:space="preserve"> </w:t>
      </w:r>
    </w:p>
    <w:p w:rsidR="00F30F15" w:rsidRPr="00984578" w:rsidRDefault="00F30F15" w:rsidP="008A29ED"/>
    <w:p w:rsidR="00020A76" w:rsidRDefault="00B23C56" w:rsidP="008A29ED">
      <w:r w:rsidRPr="00984578">
        <w:t>There were 27 complaints (36%) regarding staff actions</w:t>
      </w:r>
      <w:r w:rsidR="00AF2B4B">
        <w:t>. Of these complaints 23 o</w:t>
      </w:r>
      <w:r w:rsidRPr="00984578">
        <w:t xml:space="preserve"> came from the </w:t>
      </w:r>
      <w:r w:rsidR="00036F8D">
        <w:t>childcare</w:t>
      </w:r>
      <w:r w:rsidRPr="00984578">
        <w:t xml:space="preserve"> sector. </w:t>
      </w:r>
      <w:r w:rsidR="00C87DD4" w:rsidRPr="00984578">
        <w:t xml:space="preserve"> Most of th</w:t>
      </w:r>
      <w:r w:rsidR="001D2E2E">
        <w:t>ese complaints were not upheld. Of those that were upheld, issues</w:t>
      </w:r>
      <w:r w:rsidR="00C87DD4" w:rsidRPr="00984578">
        <w:t xml:space="preserve"> had been addressed directly with the staff member involved. The remaining compla</w:t>
      </w:r>
      <w:r w:rsidR="00427564">
        <w:t>ints in the adult sector</w:t>
      </w:r>
      <w:r w:rsidR="00C87DD4" w:rsidRPr="00984578">
        <w:t xml:space="preserve"> </w:t>
      </w:r>
      <w:r w:rsidR="00DC262D" w:rsidRPr="00984578">
        <w:t xml:space="preserve">included issues with staff’s behavior </w:t>
      </w:r>
      <w:r w:rsidR="009D1885" w:rsidRPr="00984578">
        <w:t xml:space="preserve">in the work place. </w:t>
      </w:r>
      <w:r w:rsidR="001D2E2E">
        <w:t>Appropriate action was taken with staff involved.</w:t>
      </w:r>
    </w:p>
    <w:p w:rsidR="001D2E2E" w:rsidRPr="00984578" w:rsidRDefault="001D2E2E" w:rsidP="008A29ED"/>
    <w:p w:rsidR="00020A76" w:rsidRPr="00984578" w:rsidRDefault="001D2E2E" w:rsidP="008A29ED">
      <w:r>
        <w:t>There were</w:t>
      </w:r>
      <w:r w:rsidR="008D3C13" w:rsidRPr="00984578">
        <w:t xml:space="preserve"> 2 complaint</w:t>
      </w:r>
      <w:r>
        <w:t>s (3%) in the childcare sector regarding vandalism on a</w:t>
      </w:r>
      <w:r w:rsidRPr="001D2E2E">
        <w:rPr>
          <w:lang w:val="en-GB"/>
        </w:rPr>
        <w:t xml:space="preserve"> </w:t>
      </w:r>
      <w:r w:rsidR="00DC262D" w:rsidRPr="001D2E2E">
        <w:rPr>
          <w:lang w:val="en-GB"/>
        </w:rPr>
        <w:t>neighbour’s</w:t>
      </w:r>
      <w:r w:rsidR="00DC262D" w:rsidRPr="00984578">
        <w:t xml:space="preserve"> walls and</w:t>
      </w:r>
      <w:r>
        <w:t xml:space="preserve"> damage to</w:t>
      </w:r>
      <w:r w:rsidR="00DC262D" w:rsidRPr="00984578">
        <w:t xml:space="preserve"> outside lights</w:t>
      </w:r>
      <w:r w:rsidR="009D1885" w:rsidRPr="00984578">
        <w:t xml:space="preserve"> </w:t>
      </w:r>
      <w:r>
        <w:t>caused</w:t>
      </w:r>
      <w:r w:rsidR="009D1885" w:rsidRPr="00984578">
        <w:t xml:space="preserve"> young people throwing food over the wall</w:t>
      </w:r>
      <w:r w:rsidR="00DC262D" w:rsidRPr="00984578">
        <w:t>.</w:t>
      </w:r>
      <w:r w:rsidR="008D3C13" w:rsidRPr="00984578">
        <w:t xml:space="preserve"> These</w:t>
      </w:r>
      <w:r w:rsidR="009D1885" w:rsidRPr="00984578">
        <w:t xml:space="preserve"> complaint</w:t>
      </w:r>
      <w:r>
        <w:t>s were</w:t>
      </w:r>
      <w:r w:rsidR="009D1885" w:rsidRPr="00984578">
        <w:t xml:space="preserve"> upheld and damage was paid for. </w:t>
      </w:r>
    </w:p>
    <w:p w:rsidR="00D266E8" w:rsidRPr="00984578" w:rsidRDefault="00D266E8" w:rsidP="008A29ED"/>
    <w:p w:rsidR="00B7444A" w:rsidRPr="00984578" w:rsidRDefault="00631854" w:rsidP="008A29ED">
      <w:pPr>
        <w:rPr>
          <w:lang w:val="en-GB"/>
        </w:rPr>
      </w:pPr>
      <w:r w:rsidRPr="00984578">
        <w:t>There were 12</w:t>
      </w:r>
      <w:r w:rsidR="00D266E8" w:rsidRPr="00984578">
        <w:t xml:space="preserve"> </w:t>
      </w:r>
      <w:r w:rsidRPr="00984578">
        <w:t>complaints (16</w:t>
      </w:r>
      <w:r w:rsidR="00266AF1" w:rsidRPr="00984578">
        <w:t xml:space="preserve">%) which fell into the ‘other’ category. This category is a collection complaints which couldn’t easily fall into the description of the main categories. </w:t>
      </w:r>
      <w:r w:rsidR="00A3598E" w:rsidRPr="00984578">
        <w:rPr>
          <w:lang w:val="en-GB"/>
        </w:rPr>
        <w:t>Five of</w:t>
      </w:r>
      <w:r w:rsidR="00266AF1" w:rsidRPr="00984578">
        <w:rPr>
          <w:lang w:val="en-GB"/>
        </w:rPr>
        <w:t xml:space="preserve"> these complaint were made in the </w:t>
      </w:r>
      <w:r w:rsidR="00036F8D">
        <w:rPr>
          <w:lang w:val="en-GB"/>
        </w:rPr>
        <w:t>childcare</w:t>
      </w:r>
      <w:r w:rsidR="00266AF1" w:rsidRPr="00984578">
        <w:rPr>
          <w:lang w:val="en-GB"/>
        </w:rPr>
        <w:t xml:space="preserve"> sector,</w:t>
      </w:r>
      <w:r w:rsidR="00A3598E" w:rsidRPr="00984578">
        <w:rPr>
          <w:lang w:val="en-GB"/>
        </w:rPr>
        <w:t xml:space="preserve"> two from adoption services,</w:t>
      </w:r>
      <w:r w:rsidR="00266AF1" w:rsidRPr="00984578">
        <w:rPr>
          <w:lang w:val="en-GB"/>
        </w:rPr>
        <w:t xml:space="preserve"> three from the adult sector, one from head office and </w:t>
      </w:r>
      <w:r w:rsidR="005F017E" w:rsidRPr="00984578">
        <w:rPr>
          <w:lang w:val="en-GB"/>
        </w:rPr>
        <w:t xml:space="preserve">one public complaint. </w:t>
      </w:r>
    </w:p>
    <w:p w:rsidR="007A234C" w:rsidRPr="00984578" w:rsidRDefault="007A234C" w:rsidP="008A29ED">
      <w:pPr>
        <w:pStyle w:val="Heading1"/>
        <w:rPr>
          <w:rStyle w:val="Style1Char"/>
          <w:rFonts w:ascii="Open Sans" w:hAnsi="Open Sans" w:cs="Open Sans"/>
        </w:rPr>
      </w:pPr>
      <w:r w:rsidRPr="00984578">
        <w:rPr>
          <w:lang w:val="en-GB"/>
        </w:rPr>
        <w:br w:type="page"/>
      </w:r>
      <w:bookmarkStart w:id="7" w:name="_Toc481480473"/>
      <w:r w:rsidRPr="00984578">
        <w:lastRenderedPageBreak/>
        <w:t xml:space="preserve">Comparison of complaints by </w:t>
      </w:r>
      <w:r w:rsidR="0003434E" w:rsidRPr="00984578">
        <w:t>category</w:t>
      </w:r>
      <w:r w:rsidR="00180C1E" w:rsidRPr="00984578">
        <w:t xml:space="preserve"> 201</w:t>
      </w:r>
      <w:r w:rsidR="001B29DE" w:rsidRPr="00984578">
        <w:t>5/16</w:t>
      </w:r>
      <w:r w:rsidR="003231DC" w:rsidRPr="00984578">
        <w:t xml:space="preserve"> </w:t>
      </w:r>
      <w:r w:rsidR="00293D68" w:rsidRPr="00984578">
        <w:t>and 20</w:t>
      </w:r>
      <w:r w:rsidR="00180C1E" w:rsidRPr="00984578">
        <w:t>1</w:t>
      </w:r>
      <w:r w:rsidR="001B29DE" w:rsidRPr="00984578">
        <w:t>6/17</w:t>
      </w:r>
      <w:bookmarkEnd w:id="7"/>
    </w:p>
    <w:p w:rsidR="00293D68" w:rsidRPr="00984578" w:rsidRDefault="008D3C13" w:rsidP="008A29ED">
      <w:pPr>
        <w:rPr>
          <w:noProof/>
          <w:lang w:eastAsia="en-GB"/>
        </w:rPr>
      </w:pPr>
      <w:r w:rsidRPr="00984578">
        <w:rPr>
          <w:noProof/>
          <w:lang w:val="en-GB" w:eastAsia="en-GB"/>
        </w:rPr>
        <w:drawing>
          <wp:anchor distT="0" distB="0" distL="114300" distR="114300" simplePos="0" relativeHeight="251660288" behindDoc="1" locked="0" layoutInCell="1" allowOverlap="1" wp14:anchorId="13396A2A" wp14:editId="1CAA98DD">
            <wp:simplePos x="0" y="0"/>
            <wp:positionH relativeFrom="column">
              <wp:posOffset>-712470</wp:posOffset>
            </wp:positionH>
            <wp:positionV relativeFrom="paragraph">
              <wp:posOffset>193040</wp:posOffset>
            </wp:positionV>
            <wp:extent cx="6486525" cy="3829050"/>
            <wp:effectExtent l="0" t="0" r="9525" b="0"/>
            <wp:wrapTight wrapText="bothSides">
              <wp:wrapPolygon edited="0">
                <wp:start x="0" y="0"/>
                <wp:lineTo x="0" y="21493"/>
                <wp:lineTo x="21568" y="21493"/>
                <wp:lineTo x="21568"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761AC2" w:rsidRPr="00984578" w:rsidRDefault="00761AC2" w:rsidP="008A29ED"/>
    <w:p w:rsidR="00293D68" w:rsidRPr="00984578" w:rsidRDefault="00293D68" w:rsidP="008A29ED"/>
    <w:p w:rsidR="00180C1E" w:rsidRPr="00984578" w:rsidRDefault="00180C1E" w:rsidP="008A29ED"/>
    <w:p w:rsidR="006A00EF" w:rsidRPr="00984578" w:rsidRDefault="00293D68" w:rsidP="008A29ED">
      <w:r w:rsidRPr="00984578">
        <w:t>The overall trend in the number of complaints reported ha</w:t>
      </w:r>
      <w:r w:rsidR="00372515" w:rsidRPr="00984578">
        <w:t>s</w:t>
      </w:r>
      <w:r w:rsidRPr="00984578">
        <w:t xml:space="preserve"> </w:t>
      </w:r>
      <w:r w:rsidR="006A00EF" w:rsidRPr="00984578">
        <w:t>decreased</w:t>
      </w:r>
      <w:r w:rsidRPr="00984578">
        <w:t xml:space="preserve"> </w:t>
      </w:r>
      <w:r w:rsidR="006A00EF" w:rsidRPr="00984578">
        <w:t>by 7.5</w:t>
      </w:r>
      <w:r w:rsidR="0003434E" w:rsidRPr="00984578">
        <w:t xml:space="preserve">% </w:t>
      </w:r>
      <w:r w:rsidRPr="00984578">
        <w:t xml:space="preserve">since </w:t>
      </w:r>
      <w:r w:rsidR="00CA03C3" w:rsidRPr="00984578">
        <w:t>201</w:t>
      </w:r>
      <w:r w:rsidR="006A00EF" w:rsidRPr="00984578">
        <w:t>5/16</w:t>
      </w:r>
      <w:r w:rsidRPr="00984578">
        <w:t xml:space="preserve">. </w:t>
      </w:r>
      <w:r w:rsidR="006A00EF" w:rsidRPr="00984578">
        <w:t xml:space="preserve">There </w:t>
      </w:r>
      <w:r w:rsidR="001D2E2E">
        <w:t xml:space="preserve">have </w:t>
      </w:r>
      <w:r w:rsidR="006A00EF" w:rsidRPr="00984578">
        <w:t>been 8 types of complaints that have increase</w:t>
      </w:r>
      <w:r w:rsidR="001D2E2E">
        <w:t>d</w:t>
      </w:r>
      <w:r w:rsidR="00A20CC8" w:rsidRPr="00984578">
        <w:t>,</w:t>
      </w:r>
      <w:r w:rsidR="006A00EF" w:rsidRPr="00984578">
        <w:t xml:space="preserve"> and 10 that have decreased. </w:t>
      </w:r>
    </w:p>
    <w:p w:rsidR="006A00EF" w:rsidRPr="00984578" w:rsidRDefault="006A00EF" w:rsidP="008A29ED"/>
    <w:p w:rsidR="00444CE8" w:rsidRPr="00984578" w:rsidRDefault="006A00EF" w:rsidP="008A29ED">
      <w:r w:rsidRPr="00984578">
        <w:t>The more significant changes in increase</w:t>
      </w:r>
      <w:r w:rsidR="001D2E2E">
        <w:t>s</w:t>
      </w:r>
      <w:r w:rsidRPr="00984578">
        <w:t xml:space="preserve"> have been to </w:t>
      </w:r>
      <w:r w:rsidR="001D2E2E">
        <w:t>Staff Action and O</w:t>
      </w:r>
      <w:r w:rsidRPr="00984578">
        <w:t>ther, whilst the significant decrease</w:t>
      </w:r>
      <w:r w:rsidR="001D2E2E">
        <w:t>s have been in</w:t>
      </w:r>
      <w:r w:rsidRPr="00984578">
        <w:t xml:space="preserve"> Food, Relationships with SU. </w:t>
      </w:r>
    </w:p>
    <w:p w:rsidR="00396E38" w:rsidRPr="00984578" w:rsidRDefault="00396E38" w:rsidP="008A29ED"/>
    <w:p w:rsidR="00065392" w:rsidRPr="00984578" w:rsidRDefault="00396E38" w:rsidP="008A29ED">
      <w:r w:rsidRPr="00984578">
        <w:t>Some categories fell by 100% to report zero complaints, the</w:t>
      </w:r>
      <w:r w:rsidR="00036F8D">
        <w:t>se categories are; Data P</w:t>
      </w:r>
      <w:r w:rsidRPr="00984578">
        <w:t>rotection</w:t>
      </w:r>
      <w:r w:rsidR="0090611C" w:rsidRPr="00984578">
        <w:t xml:space="preserve"> (1)</w:t>
      </w:r>
      <w:r w:rsidR="00036F8D">
        <w:t>, F</w:t>
      </w:r>
      <w:r w:rsidRPr="00984578">
        <w:t>ood</w:t>
      </w:r>
      <w:r w:rsidR="000F5C03" w:rsidRPr="00984578">
        <w:t xml:space="preserve"> (</w:t>
      </w:r>
      <w:r w:rsidR="0090611C" w:rsidRPr="00984578">
        <w:t>7)</w:t>
      </w:r>
      <w:r w:rsidRPr="00984578">
        <w:t xml:space="preserve">, </w:t>
      </w:r>
      <w:r w:rsidR="00036F8D">
        <w:t>Support N</w:t>
      </w:r>
      <w:r w:rsidR="004B70DD" w:rsidRPr="00984578">
        <w:t>eeds</w:t>
      </w:r>
      <w:r w:rsidR="0090611C" w:rsidRPr="00984578">
        <w:t xml:space="preserve"> (1)</w:t>
      </w:r>
      <w:r w:rsidR="00036F8D">
        <w:t xml:space="preserve"> and T</w:t>
      </w:r>
      <w:r w:rsidR="004B70DD" w:rsidRPr="00984578">
        <w:t>heft</w:t>
      </w:r>
      <w:r w:rsidR="0090611C" w:rsidRPr="00984578">
        <w:t xml:space="preserve"> (1</w:t>
      </w:r>
      <w:r w:rsidR="00C4316F">
        <w:t>)</w:t>
      </w:r>
      <w:r w:rsidR="00E942B9">
        <w:t>. However</w:t>
      </w:r>
      <w:r w:rsidR="00036F8D">
        <w:t>, the category of F</w:t>
      </w:r>
      <w:r w:rsidR="004B70DD" w:rsidRPr="00984578">
        <w:t>ees reported no complaints in 2015/16 but received o</w:t>
      </w:r>
      <w:r w:rsidR="00036F8D">
        <w:t>ne in 2016/17. The category of V</w:t>
      </w:r>
      <w:r w:rsidR="004B70DD" w:rsidRPr="00984578">
        <w:t>andalism is a new category</w:t>
      </w:r>
      <w:r w:rsidR="00036F8D">
        <w:t>.</w:t>
      </w:r>
      <w:r w:rsidR="004B70DD" w:rsidRPr="00984578">
        <w:t xml:space="preserve"> </w:t>
      </w:r>
    </w:p>
    <w:p w:rsidR="00396E38" w:rsidRPr="00984578" w:rsidRDefault="00065392" w:rsidP="008A29ED">
      <w:r w:rsidRPr="00984578">
        <w:t xml:space="preserve">The number of complaints for Activities has fallen from 2 </w:t>
      </w:r>
      <w:r w:rsidR="006A47A5" w:rsidRPr="00984578">
        <w:t>in 2015/16 to</w:t>
      </w:r>
      <w:r w:rsidRPr="00984578">
        <w:t xml:space="preserve"> 1 in 2016/17. </w:t>
      </w:r>
      <w:r w:rsidR="006A47A5" w:rsidRPr="00984578">
        <w:t>This category was put in place in 2015</w:t>
      </w:r>
      <w:r w:rsidR="00E942B9">
        <w:t>/16 for services users to</w:t>
      </w:r>
      <w:r w:rsidR="006A47A5" w:rsidRPr="00984578">
        <w:t xml:space="preserve"> understand how </w:t>
      </w:r>
      <w:r w:rsidR="00E942B9">
        <w:t>they</w:t>
      </w:r>
      <w:r w:rsidR="006A47A5" w:rsidRPr="00984578">
        <w:t xml:space="preserve"> feel about the activities available to them. The complaint came from the </w:t>
      </w:r>
      <w:r w:rsidR="00036F8D">
        <w:t>childcare</w:t>
      </w:r>
      <w:r w:rsidR="009925B6">
        <w:t xml:space="preserve"> sector</w:t>
      </w:r>
      <w:r w:rsidR="00396E38" w:rsidRPr="00984578">
        <w:t>, however this was not upheld as the complaint went again service user</w:t>
      </w:r>
      <w:r w:rsidR="00AC4970">
        <w:t>’</w:t>
      </w:r>
      <w:r w:rsidR="00396E38" w:rsidRPr="00984578">
        <w:t xml:space="preserve">s care plan. </w:t>
      </w:r>
      <w:r w:rsidR="00631854" w:rsidRPr="00984578">
        <w:t xml:space="preserve">The outcome </w:t>
      </w:r>
      <w:r w:rsidR="00CC4427" w:rsidRPr="00984578">
        <w:t xml:space="preserve">for this complaint was accepted. </w:t>
      </w:r>
    </w:p>
    <w:p w:rsidR="00065392" w:rsidRPr="00984578" w:rsidRDefault="00065392" w:rsidP="008A29ED"/>
    <w:p w:rsidR="00396E38" w:rsidRPr="00984578" w:rsidRDefault="00396E38" w:rsidP="008A29ED">
      <w:r w:rsidRPr="00984578">
        <w:t>The</w:t>
      </w:r>
      <w:r w:rsidR="00CC4427" w:rsidRPr="00984578">
        <w:t xml:space="preserve"> number of comp</w:t>
      </w:r>
      <w:r w:rsidR="00C10381">
        <w:t>laints in</w:t>
      </w:r>
      <w:r w:rsidR="00CC4427" w:rsidRPr="00984578">
        <w:t xml:space="preserve"> </w:t>
      </w:r>
      <w:proofErr w:type="spellStart"/>
      <w:r w:rsidR="00036F8D">
        <w:t>B</w:t>
      </w:r>
      <w:r w:rsidRPr="00984578">
        <w:t>ehaviour</w:t>
      </w:r>
      <w:r w:rsidR="00C10381">
        <w:t>al</w:t>
      </w:r>
      <w:proofErr w:type="spellEnd"/>
      <w:r w:rsidRPr="00984578">
        <w:t xml:space="preserve"> has risen from</w:t>
      </w:r>
      <w:r w:rsidR="000F5C03" w:rsidRPr="00984578">
        <w:t xml:space="preserve"> 12</w:t>
      </w:r>
      <w:r w:rsidRPr="00984578">
        <w:t xml:space="preserve"> in 2015/16 to </w:t>
      </w:r>
      <w:r w:rsidR="000F5C03" w:rsidRPr="00984578">
        <w:t>15</w:t>
      </w:r>
      <w:r w:rsidRPr="00984578">
        <w:t xml:space="preserve"> in 2016/17.  These complaints were based around disruptive </w:t>
      </w:r>
      <w:proofErr w:type="spellStart"/>
      <w:r w:rsidRPr="00984578">
        <w:t>behaviour</w:t>
      </w:r>
      <w:proofErr w:type="spellEnd"/>
      <w:r w:rsidRPr="00984578">
        <w:t xml:space="preserve"> towards other services users (which would not be classed as bullying), and some complaints against employees. </w:t>
      </w:r>
      <w:r w:rsidR="00631854" w:rsidRPr="00984578">
        <w:t>There</w:t>
      </w:r>
      <w:r w:rsidR="00036F8D">
        <w:t xml:space="preserve"> were</w:t>
      </w:r>
      <w:r w:rsidR="00CC4427" w:rsidRPr="00984578">
        <w:t xml:space="preserve"> nine</w:t>
      </w:r>
      <w:r w:rsidR="00631854" w:rsidRPr="00984578">
        <w:t xml:space="preserve"> accepted outcomes for this category and </w:t>
      </w:r>
      <w:r w:rsidR="00CC4427" w:rsidRPr="00984578">
        <w:t xml:space="preserve">six unknown. </w:t>
      </w:r>
    </w:p>
    <w:p w:rsidR="0075389E" w:rsidRPr="00984578" w:rsidRDefault="0075389E" w:rsidP="008A29ED"/>
    <w:p w:rsidR="004B70DD" w:rsidRPr="00984578" w:rsidRDefault="004B70DD" w:rsidP="008A29ED">
      <w:r w:rsidRPr="00984578">
        <w:t>The number of complaint</w:t>
      </w:r>
      <w:r w:rsidR="00036F8D">
        <w:t>s for B</w:t>
      </w:r>
      <w:r w:rsidRPr="00984578">
        <w:t xml:space="preserve">ullying also increased from 4 in 2015/16 to 6 in 2016/17. These complaints from the </w:t>
      </w:r>
      <w:r w:rsidR="00036F8D">
        <w:t>childcare</w:t>
      </w:r>
      <w:r w:rsidRPr="00984578">
        <w:t xml:space="preserve"> sector had mostly been dealt with by speaking to the </w:t>
      </w:r>
      <w:proofErr w:type="gramStart"/>
      <w:r w:rsidRPr="00984578">
        <w:t>individuals</w:t>
      </w:r>
      <w:proofErr w:type="gramEnd"/>
      <w:r w:rsidRPr="00984578">
        <w:t xml:space="preserve"> involved and increasing staff monitoring. </w:t>
      </w:r>
      <w:r w:rsidR="00036F8D">
        <w:t>There were</w:t>
      </w:r>
      <w:r w:rsidR="000F5C03" w:rsidRPr="00984578">
        <w:t xml:space="preserve"> five accepted outcomes for this category with one unknown. </w:t>
      </w:r>
    </w:p>
    <w:p w:rsidR="000F5C03" w:rsidRPr="00984578" w:rsidRDefault="000F5C03" w:rsidP="008A29ED"/>
    <w:p w:rsidR="000F5C03" w:rsidRPr="00984578" w:rsidRDefault="00036F8D" w:rsidP="008A29ED">
      <w:r>
        <w:t>The number of complaints for C</w:t>
      </w:r>
      <w:r w:rsidR="000F5C03" w:rsidRPr="00984578">
        <w:t xml:space="preserve">are has fallen from 4 in 2015/16 to 1 in 2016/17. This complaint had an unknown outcome due to evidence showing the complaint was not upheld but the complainant refusing to accept responsibility.  </w:t>
      </w:r>
    </w:p>
    <w:p w:rsidR="000F5C03" w:rsidRPr="00984578" w:rsidRDefault="000F5C03" w:rsidP="008A29ED"/>
    <w:p w:rsidR="000F5C03" w:rsidRPr="00984578" w:rsidRDefault="00036F8D" w:rsidP="008A29ED">
      <w:r>
        <w:t>The category for C</w:t>
      </w:r>
      <w:r w:rsidR="000F5C03" w:rsidRPr="00984578">
        <w:t xml:space="preserve">onfidentiality complaints remained at 1, with the outcome to this complaint being unknown. </w:t>
      </w:r>
    </w:p>
    <w:p w:rsidR="0090611C" w:rsidRPr="00984578" w:rsidRDefault="0090611C" w:rsidP="008A29ED"/>
    <w:p w:rsidR="0090611C" w:rsidRPr="00984578" w:rsidRDefault="00E942B9" w:rsidP="008A29ED">
      <w:r>
        <w:t>The category for L</w:t>
      </w:r>
      <w:r w:rsidR="00036F8D">
        <w:t>a</w:t>
      </w:r>
      <w:r>
        <w:t>u</w:t>
      </w:r>
      <w:r w:rsidR="0090611C" w:rsidRPr="00984578">
        <w:t xml:space="preserve">ndry has decreased from 3 in 2015/16 to 1 in 2016/17. The complaint came from the adult sector with the complaint being responded to with an accepted outcome. </w:t>
      </w:r>
    </w:p>
    <w:p w:rsidR="0090611C" w:rsidRPr="00984578" w:rsidRDefault="0090611C" w:rsidP="008A29ED"/>
    <w:p w:rsidR="0090611C" w:rsidRPr="00984578" w:rsidRDefault="0090611C" w:rsidP="008A29ED">
      <w:r w:rsidRPr="00984578">
        <w:lastRenderedPageBreak/>
        <w:t>The category for Medication has increased from 1 in 2015/16 to 2 in 2016/17. One of the complaints came from the adult sector</w:t>
      </w:r>
      <w:r w:rsidR="00C10381">
        <w:t xml:space="preserve"> where appropriate action was taken</w:t>
      </w:r>
      <w:r w:rsidRPr="00984578">
        <w:t xml:space="preserve">, and one came from the </w:t>
      </w:r>
      <w:r w:rsidR="00036F8D">
        <w:t>childcare</w:t>
      </w:r>
      <w:r w:rsidRPr="00984578">
        <w:t xml:space="preserve"> sector with an accepted outcome. </w:t>
      </w:r>
    </w:p>
    <w:p w:rsidR="0090611C" w:rsidRPr="00984578" w:rsidRDefault="0090611C" w:rsidP="008A29ED"/>
    <w:p w:rsidR="000F5C03" w:rsidRPr="00984578" w:rsidRDefault="00036F8D" w:rsidP="008A29ED">
      <w:r>
        <w:t>The category for</w:t>
      </w:r>
      <w:r w:rsidR="0090611C" w:rsidRPr="00984578">
        <w:t xml:space="preserve"> </w:t>
      </w:r>
      <w:r>
        <w:t>P</w:t>
      </w:r>
      <w:r w:rsidR="0090611C" w:rsidRPr="00984578">
        <w:t xml:space="preserve">roperty also has an increase from 1 in 2015/16 </w:t>
      </w:r>
      <w:r w:rsidR="00C10381">
        <w:t>to 2</w:t>
      </w:r>
      <w:r w:rsidR="0090611C" w:rsidRPr="00984578">
        <w:t xml:space="preserve"> in 2016/17. </w:t>
      </w:r>
      <w:r w:rsidR="008D3C13" w:rsidRPr="00984578">
        <w:t xml:space="preserve">These complaints came from the </w:t>
      </w:r>
      <w:r>
        <w:t>childcare</w:t>
      </w:r>
      <w:r w:rsidR="008D3C13" w:rsidRPr="00984578">
        <w:t xml:space="preserve"> sector, one of which wa</w:t>
      </w:r>
      <w:r w:rsidR="00C10381">
        <w:t>s not upheld</w:t>
      </w:r>
      <w:r w:rsidR="008D3C13" w:rsidRPr="00984578">
        <w:t xml:space="preserve">. The other </w:t>
      </w:r>
      <w:r w:rsidR="008F5CF0" w:rsidRPr="00984578">
        <w:t xml:space="preserve">was upheld and </w:t>
      </w:r>
      <w:r w:rsidR="00C10381">
        <w:t xml:space="preserve">repairs were made - </w:t>
      </w:r>
      <w:r w:rsidR="008F5CF0" w:rsidRPr="00984578">
        <w:t xml:space="preserve">this outcome was accepted. </w:t>
      </w:r>
    </w:p>
    <w:p w:rsidR="000F5C03" w:rsidRPr="00984578" w:rsidRDefault="000F5C03" w:rsidP="008A29ED">
      <w:r w:rsidRPr="00984578">
        <w:t xml:space="preserve"> </w:t>
      </w:r>
    </w:p>
    <w:p w:rsidR="008F5CF0" w:rsidRPr="00984578" w:rsidRDefault="008F5CF0" w:rsidP="008A29ED">
      <w:r w:rsidRPr="00984578">
        <w:t xml:space="preserve">The category of relationships with staff decreased from 4 in 2015/16 to 1 in 2016/17. The complainant later confessed that the complaint was incorrect and made an apology, therefore the outcome was accepted. </w:t>
      </w:r>
    </w:p>
    <w:p w:rsidR="008F5CF0" w:rsidRPr="00984578" w:rsidRDefault="008F5CF0" w:rsidP="008A29ED"/>
    <w:p w:rsidR="000F5C03" w:rsidRPr="00984578" w:rsidRDefault="008F5CF0" w:rsidP="008A29ED">
      <w:r w:rsidRPr="00984578">
        <w:t xml:space="preserve">The category for relationships with service users also decreased from 10 in 2015/16 to 2 in 2016/17. These complaints were based around disruptive friendships in the </w:t>
      </w:r>
      <w:r w:rsidR="00036F8D">
        <w:t>childcare</w:t>
      </w:r>
      <w:r w:rsidRPr="00984578">
        <w:t xml:space="preserve"> sectors. These complaints reached an accepted outcome using repair and reflect meetings. </w:t>
      </w:r>
    </w:p>
    <w:p w:rsidR="008F5CF0" w:rsidRPr="00984578" w:rsidRDefault="008F5CF0" w:rsidP="008A29ED"/>
    <w:p w:rsidR="000F5C03" w:rsidRPr="00984578" w:rsidRDefault="00F72C5E" w:rsidP="008A29ED">
      <w:r w:rsidRPr="00984578">
        <w:t>The category of s</w:t>
      </w:r>
      <w:r w:rsidR="00513B4E">
        <w:t xml:space="preserve">taff actions seen an </w:t>
      </w:r>
      <w:r w:rsidRPr="00984578">
        <w:t xml:space="preserve">increase from 20 in 2015/16 to 27 in 2016/17. </w:t>
      </w:r>
      <w:r w:rsidR="001A13AD" w:rsidRPr="00984578">
        <w:t xml:space="preserve">For this category the majority of complaints made were not upheld or partially upheld. </w:t>
      </w:r>
    </w:p>
    <w:p w:rsidR="001A13AD" w:rsidRPr="00984578" w:rsidRDefault="001A13AD" w:rsidP="008A29ED"/>
    <w:p w:rsidR="001A13AD" w:rsidRPr="00984578" w:rsidRDefault="00A20CC8" w:rsidP="008A29ED">
      <w:r w:rsidRPr="00984578">
        <w:t xml:space="preserve">As explained in the previous section, the category of ‘other’ includes complaints that could not be described using the main categories. This category however seen then second largest increase of, 8 in 2015/16 to 12 in 2016/17. This category was split evenly with 6 accepted and unknown outcomes each. </w:t>
      </w:r>
    </w:p>
    <w:p w:rsidR="004B70DD" w:rsidRPr="00984578" w:rsidRDefault="004B70DD" w:rsidP="008A29ED"/>
    <w:p w:rsidR="004B70DD" w:rsidRPr="00984578" w:rsidRDefault="004B70DD" w:rsidP="008A29ED"/>
    <w:p w:rsidR="004B70DD" w:rsidRPr="00984578" w:rsidRDefault="004B70DD" w:rsidP="008A29ED"/>
    <w:p w:rsidR="004B70DD" w:rsidRPr="00984578" w:rsidRDefault="004B70DD" w:rsidP="008A29ED"/>
    <w:p w:rsidR="00396E38" w:rsidRPr="00984578" w:rsidRDefault="00396E38" w:rsidP="008A29ED"/>
    <w:p w:rsidR="003C6C5F" w:rsidRPr="00984578" w:rsidRDefault="0075389E" w:rsidP="008A29ED">
      <w:pPr>
        <w:pStyle w:val="Heading1"/>
      </w:pPr>
      <w:r w:rsidRPr="00984578">
        <w:br w:type="page"/>
      </w:r>
      <w:bookmarkStart w:id="8" w:name="_Toc481480474"/>
      <w:r w:rsidR="00CE6044" w:rsidRPr="00984578">
        <w:lastRenderedPageBreak/>
        <w:t>Complaints by service</w:t>
      </w:r>
      <w:bookmarkEnd w:id="8"/>
    </w:p>
    <w:p w:rsidR="00CE6044" w:rsidRPr="00984578" w:rsidRDefault="00CC4427" w:rsidP="008A29ED">
      <w:r w:rsidRPr="00984578">
        <w:rPr>
          <w:noProof/>
          <w:lang w:val="en-GB" w:eastAsia="en-GB"/>
        </w:rPr>
        <w:drawing>
          <wp:anchor distT="0" distB="0" distL="114300" distR="114300" simplePos="0" relativeHeight="251662336" behindDoc="1" locked="0" layoutInCell="1" allowOverlap="1" wp14:anchorId="57B71453" wp14:editId="25939D47">
            <wp:simplePos x="0" y="0"/>
            <wp:positionH relativeFrom="margin">
              <wp:align>center</wp:align>
            </wp:positionH>
            <wp:positionV relativeFrom="paragraph">
              <wp:posOffset>203200</wp:posOffset>
            </wp:positionV>
            <wp:extent cx="6116320" cy="3971925"/>
            <wp:effectExtent l="0" t="0" r="17780" b="9525"/>
            <wp:wrapTight wrapText="bothSides">
              <wp:wrapPolygon edited="0">
                <wp:start x="0" y="0"/>
                <wp:lineTo x="0" y="21548"/>
                <wp:lineTo x="21596" y="21548"/>
                <wp:lineTo x="21596"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2382E" w:rsidRPr="00984578" w:rsidRDefault="00E2382E" w:rsidP="008A29ED">
      <w:pPr>
        <w:rPr>
          <w:noProof/>
          <w:lang w:eastAsia="en-GB"/>
        </w:rPr>
      </w:pPr>
    </w:p>
    <w:p w:rsidR="00B857E0" w:rsidRPr="00984578" w:rsidRDefault="00B857E0" w:rsidP="008A29ED"/>
    <w:p w:rsidR="00F32351" w:rsidRPr="00984578" w:rsidRDefault="00E942B9" w:rsidP="008A29ED">
      <w:r>
        <w:t>The graph demonstrates</w:t>
      </w:r>
      <w:r w:rsidR="009D1163" w:rsidRPr="00984578">
        <w:t xml:space="preserve"> complaints received fo</w:t>
      </w:r>
      <w:r w:rsidR="00513B4E">
        <w:t>r each service type Nugent has to offer. There were</w:t>
      </w:r>
      <w:r w:rsidR="009D1163" w:rsidRPr="00984578">
        <w:t xml:space="preserve"> a number of service</w:t>
      </w:r>
      <w:r w:rsidR="00513B4E">
        <w:t>s</w:t>
      </w:r>
      <w:r w:rsidR="009D1163" w:rsidRPr="00984578">
        <w:t xml:space="preserve"> that received no complaint</w:t>
      </w:r>
      <w:r w:rsidR="00513B4E">
        <w:t>s</w:t>
      </w:r>
      <w:r w:rsidR="009D1163" w:rsidRPr="00984578">
        <w:t xml:space="preserve"> in 2016/17 which were; HSU, Day Care, Fundraising, Property Services and School. Nugent House School did receive complaints, howeve</w:t>
      </w:r>
      <w:r w:rsidR="00F32351" w:rsidRPr="00984578">
        <w:t xml:space="preserve">r these complaints were directed at the </w:t>
      </w:r>
      <w:r w:rsidR="00513B4E">
        <w:t xml:space="preserve">care </w:t>
      </w:r>
      <w:r w:rsidR="00F32351" w:rsidRPr="00984578">
        <w:t xml:space="preserve">homes. </w:t>
      </w:r>
    </w:p>
    <w:p w:rsidR="00F32351" w:rsidRPr="00984578" w:rsidRDefault="00F32351" w:rsidP="008A29ED"/>
    <w:p w:rsidR="00F32351" w:rsidRPr="00984578" w:rsidRDefault="00E942B9" w:rsidP="008A29ED">
      <w:r>
        <w:t>When analyzing</w:t>
      </w:r>
      <w:r w:rsidR="00F32351" w:rsidRPr="00984578">
        <w:t xml:space="preserve"> the complaints by service we see that 62 (84%) of all recorded complaints came from the </w:t>
      </w:r>
      <w:r w:rsidR="00036F8D">
        <w:t>childcare</w:t>
      </w:r>
      <w:r w:rsidR="00F32351" w:rsidRPr="00984578">
        <w:t xml:space="preserve"> sector (children’s homes 19, adoption 2, </w:t>
      </w:r>
      <w:r w:rsidR="00F32351" w:rsidRPr="00984578">
        <w:lastRenderedPageBreak/>
        <w:t>School Social worker 1 and secure unit 40), with the majority of these originating from St Catherine’s.</w:t>
      </w:r>
    </w:p>
    <w:p w:rsidR="00CC4427" w:rsidRPr="00984578" w:rsidRDefault="00CC4427" w:rsidP="008A29ED"/>
    <w:p w:rsidR="00F32351" w:rsidRPr="00984578" w:rsidRDefault="00AA34CE" w:rsidP="008A29ED">
      <w:r>
        <w:t>The adult sector</w:t>
      </w:r>
      <w:r w:rsidR="00F32351" w:rsidRPr="00984578">
        <w:t xml:space="preserve"> account</w:t>
      </w:r>
      <w:r>
        <w:t>s</w:t>
      </w:r>
      <w:r w:rsidR="00F32351" w:rsidRPr="00984578">
        <w:t xml:space="preserve"> for 9 (12%) of the complaint</w:t>
      </w:r>
      <w:r w:rsidR="00513B4E">
        <w:t>s received. The remaining complaints</w:t>
      </w:r>
      <w:r w:rsidR="00F32351" w:rsidRPr="00984578">
        <w:t xml:space="preserve"> came from Nugent Community Choices 1 (1%), </w:t>
      </w:r>
      <w:r w:rsidR="004F5205" w:rsidRPr="00984578">
        <w:t xml:space="preserve">Public complaints 1 (1%) and Head Office 1 (1%). </w:t>
      </w:r>
    </w:p>
    <w:p w:rsidR="00CE6044" w:rsidRPr="00984578" w:rsidRDefault="00CE6044" w:rsidP="008A29ED"/>
    <w:p w:rsidR="00CE6044" w:rsidRPr="00984578" w:rsidRDefault="00AB20D0" w:rsidP="008A29ED">
      <w:r w:rsidRPr="00984578">
        <w:t>When compared with the results of the p</w:t>
      </w:r>
      <w:r w:rsidR="004F5205" w:rsidRPr="00984578">
        <w:t>revious year there has been a 50</w:t>
      </w:r>
      <w:r w:rsidR="00EF3963" w:rsidRPr="00984578">
        <w:t xml:space="preserve">% </w:t>
      </w:r>
      <w:r w:rsidR="004F5205" w:rsidRPr="00984578">
        <w:t xml:space="preserve">increase </w:t>
      </w:r>
      <w:r w:rsidRPr="00984578">
        <w:t>in complaints from the a</w:t>
      </w:r>
      <w:r w:rsidR="004F5205" w:rsidRPr="00984578">
        <w:t>dult residential sector, from 6 in 2015/16 to 9 in 2016/17. There has been a 9% de</w:t>
      </w:r>
      <w:r w:rsidRPr="00984578">
        <w:t>crease in complaints f</w:t>
      </w:r>
      <w:r w:rsidR="004F5205" w:rsidRPr="00984578">
        <w:t>rom the childcare sector from 68 in 2015/16 to 62 in 2016/17</w:t>
      </w:r>
      <w:r w:rsidRPr="00984578">
        <w:t>.</w:t>
      </w:r>
      <w:r w:rsidR="00EF3963" w:rsidRPr="00984578">
        <w:t xml:space="preserve"> Head Office and Public did not receive a complaint in 2015/16 and therefore have increased by 100%. HSU and</w:t>
      </w:r>
      <w:r w:rsidR="00E942B9">
        <w:t xml:space="preserve"> Fundraising did not receive any</w:t>
      </w:r>
      <w:r w:rsidR="00EF3963" w:rsidRPr="00984578">
        <w:t xml:space="preserve"> complaint</w:t>
      </w:r>
      <w:r w:rsidR="00E942B9">
        <w:t>s</w:t>
      </w:r>
      <w:r w:rsidR="00EF3963" w:rsidRPr="00984578">
        <w:t xml:space="preserve"> in 2016/17, decreasing them by 300% and 100%. </w:t>
      </w:r>
    </w:p>
    <w:p w:rsidR="004F5205" w:rsidRPr="00984578" w:rsidRDefault="004F5205" w:rsidP="008A29ED"/>
    <w:p w:rsidR="00CC4427" w:rsidRPr="00984578" w:rsidRDefault="00CC4427" w:rsidP="008A29ED"/>
    <w:p w:rsidR="00CC4427" w:rsidRPr="00984578" w:rsidRDefault="00CC4427" w:rsidP="008A29ED"/>
    <w:p w:rsidR="00CC4427" w:rsidRPr="00984578" w:rsidRDefault="00CC4427" w:rsidP="008A29ED"/>
    <w:p w:rsidR="00CC4427" w:rsidRPr="00984578" w:rsidRDefault="00CC4427" w:rsidP="008A29ED"/>
    <w:p w:rsidR="00664796" w:rsidRPr="00984578" w:rsidRDefault="00796EF2" w:rsidP="008A29ED">
      <w:pPr>
        <w:pStyle w:val="Heading1"/>
      </w:pPr>
      <w:r w:rsidRPr="00984578">
        <w:br w:type="page"/>
      </w:r>
      <w:bookmarkStart w:id="9" w:name="_Toc481480475"/>
      <w:r w:rsidR="008A7CEA">
        <w:lastRenderedPageBreak/>
        <w:t>Breakdown of the subject of</w:t>
      </w:r>
      <w:r w:rsidR="00664796" w:rsidRPr="00984578">
        <w:t xml:space="preserve"> complaints </w:t>
      </w:r>
      <w:r w:rsidR="00EA7294" w:rsidRPr="00984578">
        <w:t>20</w:t>
      </w:r>
      <w:r w:rsidR="00174A2D">
        <w:t>16/17</w:t>
      </w:r>
      <w:bookmarkEnd w:id="9"/>
    </w:p>
    <w:p w:rsidR="00664796" w:rsidRPr="00984578" w:rsidRDefault="003F2D55" w:rsidP="008A29ED">
      <w:r w:rsidRPr="00984578">
        <w:rPr>
          <w:noProof/>
          <w:lang w:val="en-GB" w:eastAsia="en-GB"/>
        </w:rPr>
        <w:drawing>
          <wp:anchor distT="0" distB="0" distL="114300" distR="114300" simplePos="0" relativeHeight="251663360" behindDoc="1" locked="0" layoutInCell="1" allowOverlap="1" wp14:anchorId="2B058090" wp14:editId="0D21F101">
            <wp:simplePos x="0" y="0"/>
            <wp:positionH relativeFrom="margin">
              <wp:align>center</wp:align>
            </wp:positionH>
            <wp:positionV relativeFrom="paragraph">
              <wp:posOffset>221615</wp:posOffset>
            </wp:positionV>
            <wp:extent cx="5916295" cy="3724275"/>
            <wp:effectExtent l="0" t="0" r="8255" b="9525"/>
            <wp:wrapTight wrapText="bothSides">
              <wp:wrapPolygon edited="0">
                <wp:start x="0" y="0"/>
                <wp:lineTo x="0" y="21545"/>
                <wp:lineTo x="21561" y="21545"/>
                <wp:lineTo x="21561"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774B21" w:rsidRPr="00984578" w:rsidRDefault="00774B21" w:rsidP="008A29ED"/>
    <w:p w:rsidR="00774B21" w:rsidRPr="00984578" w:rsidRDefault="00774B21" w:rsidP="008A29ED"/>
    <w:p w:rsidR="00774B21" w:rsidRPr="00984578" w:rsidRDefault="00AC5641" w:rsidP="008A29ED">
      <w:r w:rsidRPr="00984578">
        <w:t xml:space="preserve">The majority of complaints, </w:t>
      </w:r>
      <w:r w:rsidR="003F2D55" w:rsidRPr="00984578">
        <w:t>51</w:t>
      </w:r>
      <w:r w:rsidR="00664796" w:rsidRPr="00984578">
        <w:t xml:space="preserve"> (</w:t>
      </w:r>
      <w:r w:rsidR="003F2D55" w:rsidRPr="00984578">
        <w:t>67.5</w:t>
      </w:r>
      <w:r w:rsidR="00664796" w:rsidRPr="00984578">
        <w:t>%) were made against Nugent</w:t>
      </w:r>
      <w:r w:rsidR="00AB20D0" w:rsidRPr="00984578">
        <w:t xml:space="preserve"> services provided</w:t>
      </w:r>
      <w:r w:rsidR="00664796" w:rsidRPr="00984578">
        <w:t xml:space="preserve">. </w:t>
      </w:r>
      <w:r w:rsidR="008A7CEA">
        <w:t>Most</w:t>
      </w:r>
      <w:r w:rsidR="003F2D55" w:rsidRPr="00984578">
        <w:t xml:space="preserve"> o</w:t>
      </w:r>
      <w:r w:rsidR="008A7CEA">
        <w:t>f these complaints were in the Staff Actions and ‘Other’ categories. T</w:t>
      </w:r>
      <w:r w:rsidR="003F2D55" w:rsidRPr="00984578">
        <w:t xml:space="preserve">here was also a number of complaints under the </w:t>
      </w:r>
      <w:r w:rsidR="008A7CEA">
        <w:t>B</w:t>
      </w:r>
      <w:r w:rsidR="003F2D55" w:rsidRPr="00984578">
        <w:t xml:space="preserve">ehavioral category previously explained in section 1.  </w:t>
      </w:r>
    </w:p>
    <w:p w:rsidR="009D1035" w:rsidRPr="00984578" w:rsidRDefault="009D1035" w:rsidP="008A29ED"/>
    <w:p w:rsidR="00D3127E" w:rsidRPr="00984578" w:rsidRDefault="002C23F0" w:rsidP="008A29ED">
      <w:r w:rsidRPr="00984578">
        <w:t>23</w:t>
      </w:r>
      <w:r w:rsidR="00D3127E" w:rsidRPr="00984578">
        <w:t xml:space="preserve"> complaints (</w:t>
      </w:r>
      <w:r w:rsidR="00A12004" w:rsidRPr="00984578">
        <w:t>32</w:t>
      </w:r>
      <w:r w:rsidRPr="00984578">
        <w:t>.5</w:t>
      </w:r>
      <w:r w:rsidR="00D3127E" w:rsidRPr="00984578">
        <w:t xml:space="preserve">%) were made by service users against other service users, these are made up of complaints about </w:t>
      </w:r>
      <w:r w:rsidR="006602B0" w:rsidRPr="00984578">
        <w:t xml:space="preserve">the unacceptable </w:t>
      </w:r>
      <w:proofErr w:type="spellStart"/>
      <w:r w:rsidR="006602B0" w:rsidRPr="00984578">
        <w:t>behaviour</w:t>
      </w:r>
      <w:proofErr w:type="spellEnd"/>
      <w:r w:rsidR="006602B0" w:rsidRPr="00984578">
        <w:t xml:space="preserve"> of other service users</w:t>
      </w:r>
      <w:r w:rsidR="00A12004" w:rsidRPr="00984578">
        <w:t xml:space="preserve">, bullying and breakdowns in relationships. </w:t>
      </w:r>
      <w:r w:rsidR="006602B0" w:rsidRPr="00984578">
        <w:t xml:space="preserve"> </w:t>
      </w:r>
      <w:r w:rsidR="00A12004" w:rsidRPr="00984578">
        <w:t>Complaints against other service users</w:t>
      </w:r>
      <w:r w:rsidR="006602B0" w:rsidRPr="00984578">
        <w:t xml:space="preserve"> </w:t>
      </w:r>
      <w:r w:rsidR="009D1035" w:rsidRPr="00984578">
        <w:t>came exclusively from the childcare sector</w:t>
      </w:r>
      <w:r w:rsidR="006602B0" w:rsidRPr="00984578">
        <w:t>.</w:t>
      </w:r>
    </w:p>
    <w:p w:rsidR="00BF0F42" w:rsidRPr="00984578" w:rsidRDefault="00BF0F42" w:rsidP="008A29ED"/>
    <w:p w:rsidR="00D3127E" w:rsidRPr="00984578" w:rsidRDefault="00D3127E" w:rsidP="008A29ED"/>
    <w:p w:rsidR="00664796" w:rsidRPr="00984578" w:rsidRDefault="00664796" w:rsidP="008A29ED">
      <w:pPr>
        <w:rPr>
          <w:kern w:val="32"/>
          <w:sz w:val="32"/>
          <w:szCs w:val="32"/>
        </w:rPr>
      </w:pPr>
      <w:r w:rsidRPr="00984578">
        <w:br w:type="page"/>
      </w:r>
    </w:p>
    <w:p w:rsidR="00CE6044" w:rsidRPr="00984578" w:rsidRDefault="008A79B6" w:rsidP="008A29ED">
      <w:pPr>
        <w:pStyle w:val="Heading1"/>
      </w:pPr>
      <w:bookmarkStart w:id="10" w:name="_Toc481480476"/>
      <w:r w:rsidRPr="00984578">
        <w:lastRenderedPageBreak/>
        <w:t>Outcomes of complaints</w:t>
      </w:r>
      <w:bookmarkEnd w:id="10"/>
    </w:p>
    <w:p w:rsidR="00F42E94" w:rsidRPr="00984578" w:rsidRDefault="00F42E94" w:rsidP="008A29ED"/>
    <w:p w:rsidR="002C23F0" w:rsidRPr="00984578" w:rsidRDefault="00480AF9" w:rsidP="008A29ED">
      <w:r w:rsidRPr="00984578">
        <w:t>This graph represents the outcome</w:t>
      </w:r>
      <w:r w:rsidR="008A7CEA">
        <w:t>s of complaints for each sector</w:t>
      </w:r>
      <w:r w:rsidRPr="00984578">
        <w:t xml:space="preserve">. Out of the 74 complaints reported in 2016/17, 26 (35.1%) were upheld, 28 (38.8%) were not upheld, 18 (24.3%) were partially upheld and 2 (2.7%) were unknown.  </w:t>
      </w:r>
    </w:p>
    <w:p w:rsidR="00480AF9" w:rsidRPr="00984578" w:rsidRDefault="00480AF9" w:rsidP="008A29ED"/>
    <w:p w:rsidR="00480AF9" w:rsidRPr="00984578" w:rsidRDefault="00480AF9" w:rsidP="008A29ED">
      <w:r w:rsidRPr="00984578">
        <w:t xml:space="preserve">There has been a significant increase in outcome that were not upheld from last year, going from 26% in </w:t>
      </w:r>
      <w:r w:rsidR="008A7CEA">
        <w:t>2015/16 to 38.8% in 2016/17. This</w:t>
      </w:r>
      <w:r w:rsidRPr="00984578">
        <w:t xml:space="preserve"> resulted in </w:t>
      </w:r>
      <w:r w:rsidR="00877684" w:rsidRPr="00984578">
        <w:t>a</w:t>
      </w:r>
      <w:r w:rsidRPr="00984578">
        <w:t xml:space="preserve"> decrease </w:t>
      </w:r>
      <w:r w:rsidR="008A7CEA">
        <w:t>for upheld</w:t>
      </w:r>
      <w:r w:rsidRPr="00984578">
        <w:t>, from 41% in 2015/16 to 35.1%</w:t>
      </w:r>
      <w:r w:rsidR="00877684" w:rsidRPr="00984578">
        <w:t>,</w:t>
      </w:r>
      <w:r w:rsidRPr="00984578">
        <w:t xml:space="preserve"> and for partially upheld, from </w:t>
      </w:r>
      <w:r w:rsidR="00877684" w:rsidRPr="00984578">
        <w:t xml:space="preserve">33% in 2015/16 to 24.3% in 2016/17. </w:t>
      </w:r>
    </w:p>
    <w:p w:rsidR="002C23F0" w:rsidRPr="00984578" w:rsidRDefault="002C23F0" w:rsidP="008A29ED"/>
    <w:p w:rsidR="00CB4D43" w:rsidRPr="00984578" w:rsidRDefault="00CB4D43" w:rsidP="008A29ED">
      <w:r w:rsidRPr="00984578">
        <w:t xml:space="preserve">These can be broken down </w:t>
      </w:r>
      <w:r w:rsidR="009A2BFA" w:rsidRPr="00984578">
        <w:t>for the different types of services as follows:</w:t>
      </w:r>
    </w:p>
    <w:p w:rsidR="00DB1616" w:rsidRPr="00984578" w:rsidRDefault="00DB1616" w:rsidP="008A29ED"/>
    <w:p w:rsidR="00805B1C" w:rsidRPr="00984578" w:rsidRDefault="001F7E20" w:rsidP="008A29ED">
      <w:r w:rsidRPr="00984578">
        <w:rPr>
          <w:noProof/>
          <w:lang w:val="en-GB" w:eastAsia="en-GB"/>
        </w:rPr>
        <w:drawing>
          <wp:inline distT="0" distB="0" distL="0" distR="0" wp14:anchorId="6A275AEC" wp14:editId="02D80C58">
            <wp:extent cx="5278120" cy="3437255"/>
            <wp:effectExtent l="0" t="0" r="17780"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7684" w:rsidRPr="00984578" w:rsidRDefault="00877684" w:rsidP="008A29ED"/>
    <w:p w:rsidR="001F7E20" w:rsidRPr="00984578" w:rsidRDefault="008A7CEA" w:rsidP="008A29ED">
      <w:r>
        <w:t>Most complaints are received from t</w:t>
      </w:r>
      <w:r w:rsidR="001F7E20" w:rsidRPr="00984578">
        <w:t xml:space="preserve">he </w:t>
      </w:r>
      <w:r w:rsidR="00036F8D">
        <w:t>childcare</w:t>
      </w:r>
      <w:r w:rsidR="001F7E20" w:rsidRPr="00984578">
        <w:t xml:space="preserve"> sector </w:t>
      </w:r>
      <w:r>
        <w:t>and details of the services concerned</w:t>
      </w:r>
      <w:r w:rsidR="001F7E20" w:rsidRPr="00984578">
        <w:t xml:space="preserve"> are explained in the complaints by service section.  </w:t>
      </w:r>
    </w:p>
    <w:p w:rsidR="001F7E20" w:rsidRPr="00984578" w:rsidRDefault="001F7E20" w:rsidP="008A29ED"/>
    <w:p w:rsidR="00805B1C" w:rsidRPr="00984578" w:rsidRDefault="00E942B9" w:rsidP="008A29ED">
      <w:pPr>
        <w:rPr>
          <w:kern w:val="32"/>
          <w:sz w:val="32"/>
          <w:szCs w:val="32"/>
        </w:rPr>
      </w:pPr>
      <w:r>
        <w:t>A</w:t>
      </w:r>
      <w:r w:rsidR="00164E4E" w:rsidRPr="00984578">
        <w:t xml:space="preserve">cceptance of the outcomes by the complainants </w:t>
      </w:r>
      <w:r>
        <w:t xml:space="preserve">were monitored </w:t>
      </w:r>
      <w:r w:rsidR="00164E4E" w:rsidRPr="00984578">
        <w:t xml:space="preserve">wherever possible. We found that </w:t>
      </w:r>
      <w:r w:rsidR="000B611C" w:rsidRPr="00984578">
        <w:t>43</w:t>
      </w:r>
      <w:r w:rsidR="00164E4E" w:rsidRPr="00984578">
        <w:t xml:space="preserve"> people (</w:t>
      </w:r>
      <w:r w:rsidR="000B611C" w:rsidRPr="00984578">
        <w:t>58</w:t>
      </w:r>
      <w:r w:rsidR="00164E4E" w:rsidRPr="00984578">
        <w:t>%) accepted the outcome</w:t>
      </w:r>
      <w:r w:rsidR="000B611C" w:rsidRPr="00984578">
        <w:t xml:space="preserve"> </w:t>
      </w:r>
      <w:r>
        <w:t>and</w:t>
      </w:r>
      <w:r w:rsidR="00164E4E" w:rsidRPr="00984578">
        <w:t xml:space="preserve"> the remaining </w:t>
      </w:r>
      <w:r w:rsidR="000B611C" w:rsidRPr="00984578">
        <w:t>31</w:t>
      </w:r>
      <w:r w:rsidR="00164E4E" w:rsidRPr="00984578">
        <w:t xml:space="preserve"> </w:t>
      </w:r>
      <w:r w:rsidR="000B571B" w:rsidRPr="00984578">
        <w:t>(</w:t>
      </w:r>
      <w:r w:rsidR="000B611C" w:rsidRPr="00984578">
        <w:t>41</w:t>
      </w:r>
      <w:r w:rsidR="00164E4E" w:rsidRPr="00984578">
        <w:t>%) we were not able to find out if they accepted the outcome or not.</w:t>
      </w:r>
      <w:r w:rsidR="000B611C" w:rsidRPr="00984578">
        <w:t xml:space="preserve"> </w:t>
      </w:r>
      <w:r w:rsidR="00174A2D">
        <w:t xml:space="preserve">This percentage for unknown outcomes is higher than previous reports. </w:t>
      </w:r>
    </w:p>
    <w:p w:rsidR="00805B1C" w:rsidRPr="00984578" w:rsidRDefault="00805B1C" w:rsidP="008A29ED">
      <w:pPr>
        <w:pStyle w:val="Heading1"/>
      </w:pPr>
      <w:bookmarkStart w:id="11" w:name="_Toc481480477"/>
      <w:r w:rsidRPr="00984578">
        <w:t>Gender of Complainants</w:t>
      </w:r>
      <w:bookmarkEnd w:id="11"/>
    </w:p>
    <w:p w:rsidR="00805B1C" w:rsidRPr="00984578" w:rsidRDefault="009C0C0D" w:rsidP="008A29ED">
      <w:pPr>
        <w:pStyle w:val="Heading1"/>
      </w:pPr>
      <w:bookmarkStart w:id="12" w:name="_Toc480962552"/>
      <w:bookmarkStart w:id="13" w:name="_Toc480968011"/>
      <w:bookmarkStart w:id="14" w:name="_Toc481480478"/>
      <w:r w:rsidRPr="00984578">
        <w:rPr>
          <w:noProof/>
          <w:lang w:val="en-GB" w:eastAsia="en-GB"/>
        </w:rPr>
        <w:drawing>
          <wp:inline distT="0" distB="0" distL="0" distR="0" wp14:anchorId="355E4211" wp14:editId="7C19658F">
            <wp:extent cx="5278120" cy="3437255"/>
            <wp:effectExtent l="0" t="0" r="17780" b="1079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12"/>
      <w:bookmarkEnd w:id="13"/>
      <w:bookmarkEnd w:id="14"/>
    </w:p>
    <w:p w:rsidR="00805B1C" w:rsidRPr="00984578" w:rsidRDefault="00805B1C" w:rsidP="008A29ED"/>
    <w:p w:rsidR="00805B1C" w:rsidRPr="00984578" w:rsidRDefault="00805B1C" w:rsidP="008A29ED"/>
    <w:p w:rsidR="00805B1C" w:rsidRPr="00984578" w:rsidRDefault="00805B1C" w:rsidP="008A29ED"/>
    <w:p w:rsidR="009C0C0D" w:rsidRPr="00984578" w:rsidRDefault="00174A2D" w:rsidP="008A29ED">
      <w:r>
        <w:t>Nugent</w:t>
      </w:r>
      <w:r w:rsidR="00AB20D0" w:rsidRPr="00984578">
        <w:t xml:space="preserve"> looked at the gender of those making the complaints to identify if there was a trend. </w:t>
      </w:r>
      <w:r w:rsidR="009C0C0D" w:rsidRPr="00984578">
        <w:t>22</w:t>
      </w:r>
      <w:r w:rsidR="00805B1C" w:rsidRPr="00984578">
        <w:t xml:space="preserve"> (</w:t>
      </w:r>
      <w:r w:rsidR="009C0C0D" w:rsidRPr="00984578">
        <w:t>29</w:t>
      </w:r>
      <w:r w:rsidR="00805B1C" w:rsidRPr="00984578">
        <w:t xml:space="preserve">%) of the complainants were </w:t>
      </w:r>
      <w:r w:rsidR="009C0C0D" w:rsidRPr="00984578">
        <w:t>male and 52</w:t>
      </w:r>
      <w:r w:rsidR="00805B1C" w:rsidRPr="00984578">
        <w:t xml:space="preserve"> (</w:t>
      </w:r>
      <w:r w:rsidR="009C0C0D" w:rsidRPr="00984578">
        <w:t>70</w:t>
      </w:r>
      <w:r w:rsidR="00805B1C" w:rsidRPr="00984578">
        <w:t xml:space="preserve">%) were </w:t>
      </w:r>
      <w:r w:rsidR="009621E5" w:rsidRPr="00984578">
        <w:t>fe</w:t>
      </w:r>
      <w:r w:rsidR="00805B1C" w:rsidRPr="00984578">
        <w:t xml:space="preserve">male. </w:t>
      </w:r>
      <w:r w:rsidR="008A7CEA">
        <w:t>However this difference has</w:t>
      </w:r>
      <w:r w:rsidR="009C0C0D" w:rsidRPr="00984578">
        <w:t xml:space="preserve"> shortened by 10% since 2015/16. </w:t>
      </w:r>
    </w:p>
    <w:p w:rsidR="00AB20D0" w:rsidRPr="00984578" w:rsidRDefault="00AB20D0" w:rsidP="008A29ED"/>
    <w:p w:rsidR="00AB20D0" w:rsidRPr="00984578" w:rsidRDefault="00AB20D0" w:rsidP="008A29ED">
      <w:r w:rsidRPr="00984578">
        <w:lastRenderedPageBreak/>
        <w:t>This result is not surprising given the fact that the majority of complaints came from St Catherine’s, where th</w:t>
      </w:r>
      <w:r w:rsidR="008A7CEA">
        <w:t>e service users are mostly female</w:t>
      </w:r>
      <w:r w:rsidRPr="00984578">
        <w:t>.</w:t>
      </w:r>
      <w:r w:rsidR="009C0C0D" w:rsidRPr="00984578">
        <w:t xml:space="preserve"> </w:t>
      </w:r>
    </w:p>
    <w:p w:rsidR="008E7CD4" w:rsidRPr="00984578" w:rsidRDefault="008E7CD4" w:rsidP="008A29ED">
      <w:pPr>
        <w:pStyle w:val="Heading1"/>
      </w:pPr>
    </w:p>
    <w:p w:rsidR="000B611C" w:rsidRPr="00984578" w:rsidRDefault="000B611C" w:rsidP="008A29ED"/>
    <w:p w:rsidR="000B611C" w:rsidRPr="00984578" w:rsidRDefault="000B611C" w:rsidP="008A29ED"/>
    <w:p w:rsidR="000B611C" w:rsidRPr="00984578" w:rsidRDefault="000B611C" w:rsidP="008A29ED"/>
    <w:p w:rsidR="000B611C" w:rsidRPr="00984578" w:rsidRDefault="000B611C" w:rsidP="008A29ED"/>
    <w:p w:rsidR="000B611C" w:rsidRPr="00984578" w:rsidRDefault="000B611C" w:rsidP="008A29ED"/>
    <w:p w:rsidR="009C0C0D" w:rsidRPr="00984578" w:rsidRDefault="00045C68" w:rsidP="008A29ED">
      <w:pPr>
        <w:pStyle w:val="Heading1"/>
      </w:pPr>
      <w:bookmarkStart w:id="15" w:name="_Toc481480479"/>
      <w:r w:rsidRPr="00984578">
        <w:t>Type of Complaints for Each Service</w:t>
      </w:r>
      <w:bookmarkEnd w:id="15"/>
      <w:r w:rsidRPr="00984578">
        <w:t xml:space="preserve"> </w:t>
      </w:r>
    </w:p>
    <w:p w:rsidR="00045C68" w:rsidRPr="00984578" w:rsidRDefault="00045C68" w:rsidP="008A29ED"/>
    <w:p w:rsidR="00045C68" w:rsidRPr="00984578" w:rsidRDefault="00045C68" w:rsidP="008A29ED">
      <w:r w:rsidRPr="00984578">
        <w:t xml:space="preserve">The table below shows the type of complaints in each of the service. </w:t>
      </w:r>
    </w:p>
    <w:p w:rsidR="00045C68" w:rsidRPr="00984578" w:rsidRDefault="00045C68" w:rsidP="008A29ED"/>
    <w:tbl>
      <w:tblPr>
        <w:tblStyle w:val="GridTable1Light-Accent1"/>
        <w:tblW w:w="0" w:type="auto"/>
        <w:tblLook w:val="04A0" w:firstRow="1" w:lastRow="0" w:firstColumn="1" w:lastColumn="0" w:noHBand="0" w:noVBand="1"/>
      </w:tblPr>
      <w:tblGrid>
        <w:gridCol w:w="2767"/>
        <w:gridCol w:w="2767"/>
        <w:gridCol w:w="2768"/>
      </w:tblGrid>
      <w:tr w:rsidR="009C0C0D" w:rsidRPr="001A697B" w:rsidTr="00045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7" w:type="dxa"/>
          </w:tcPr>
          <w:p w:rsidR="009C0C0D" w:rsidRPr="001A697B" w:rsidRDefault="009C0C0D" w:rsidP="008A29ED">
            <w:r w:rsidRPr="001A697B">
              <w:t xml:space="preserve">Service name </w:t>
            </w:r>
          </w:p>
        </w:tc>
        <w:tc>
          <w:tcPr>
            <w:tcW w:w="2767" w:type="dxa"/>
          </w:tcPr>
          <w:p w:rsidR="009C0C0D" w:rsidRPr="001A697B" w:rsidRDefault="009C0C0D" w:rsidP="008A29ED">
            <w:pPr>
              <w:cnfStyle w:val="100000000000" w:firstRow="1" w:lastRow="0" w:firstColumn="0" w:lastColumn="0" w:oddVBand="0" w:evenVBand="0" w:oddHBand="0" w:evenHBand="0" w:firstRowFirstColumn="0" w:firstRowLastColumn="0" w:lastRowFirstColumn="0" w:lastRowLastColumn="0"/>
            </w:pPr>
            <w:r w:rsidRPr="001A697B">
              <w:t xml:space="preserve">Type of complaint </w:t>
            </w:r>
          </w:p>
        </w:tc>
        <w:tc>
          <w:tcPr>
            <w:tcW w:w="2768" w:type="dxa"/>
          </w:tcPr>
          <w:p w:rsidR="009C0C0D" w:rsidRPr="001A697B" w:rsidRDefault="009C0C0D" w:rsidP="008A29ED">
            <w:pPr>
              <w:cnfStyle w:val="100000000000" w:firstRow="1" w:lastRow="0" w:firstColumn="0" w:lastColumn="0" w:oddVBand="0" w:evenVBand="0" w:oddHBand="0" w:evenHBand="0" w:firstRowFirstColumn="0" w:firstRowLastColumn="0" w:lastRowFirstColumn="0" w:lastRowLastColumn="0"/>
            </w:pPr>
            <w:r w:rsidRPr="001A697B">
              <w:t xml:space="preserve">Number of complaints </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auto"/>
              <w:bottom w:val="single" w:sz="12" w:space="0" w:color="4F81BD" w:themeColor="accent1"/>
            </w:tcBorders>
          </w:tcPr>
          <w:p w:rsidR="009C0C0D" w:rsidRPr="001A697B" w:rsidRDefault="009C0C0D" w:rsidP="008A29ED">
            <w:r w:rsidRPr="001A697B">
              <w:t xml:space="preserve">Adoption </w:t>
            </w:r>
          </w:p>
        </w:tc>
        <w:tc>
          <w:tcPr>
            <w:tcW w:w="2767" w:type="dxa"/>
            <w:tcBorders>
              <w:top w:val="single" w:sz="12" w:space="0" w:color="auto"/>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Other </w:t>
            </w:r>
          </w:p>
        </w:tc>
        <w:tc>
          <w:tcPr>
            <w:tcW w:w="2768" w:type="dxa"/>
            <w:tcBorders>
              <w:top w:val="single" w:sz="12" w:space="0" w:color="auto"/>
              <w:bottom w:val="single" w:sz="12" w:space="0" w:color="4F81BD" w:themeColor="accent1"/>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2</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9C0C0D" w:rsidRPr="001A697B" w:rsidRDefault="009C0C0D" w:rsidP="008A29ED">
            <w:r w:rsidRPr="001A697B">
              <w:t xml:space="preserve">Clumber Care </w:t>
            </w:r>
          </w:p>
        </w:tc>
        <w:tc>
          <w:tcPr>
            <w:tcW w:w="2767" w:type="dxa"/>
            <w:tcBorders>
              <w:top w:val="single" w:sz="12" w:space="0" w:color="4F81BD" w:themeColor="accent1"/>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proofErr w:type="spellStart"/>
            <w:r w:rsidRPr="001A697B">
              <w:t>Behavioural</w:t>
            </w:r>
            <w:proofErr w:type="spellEnd"/>
            <w:r w:rsidRPr="001A697B">
              <w:t xml:space="preserve"> </w:t>
            </w:r>
          </w:p>
        </w:tc>
        <w:tc>
          <w:tcPr>
            <w:tcW w:w="2768" w:type="dxa"/>
            <w:tcBorders>
              <w:top w:val="single" w:sz="12" w:space="0" w:color="4F81BD" w:themeColor="accent1"/>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2</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9C0C0D" w:rsidRPr="001A697B" w:rsidRDefault="009C0C0D" w:rsidP="008A29ED"/>
        </w:tc>
        <w:tc>
          <w:tcPr>
            <w:tcW w:w="2767" w:type="dxa"/>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Bullying </w:t>
            </w:r>
          </w:p>
        </w:tc>
        <w:tc>
          <w:tcPr>
            <w:tcW w:w="2768" w:type="dxa"/>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2</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9C0C0D" w:rsidRPr="001A697B" w:rsidRDefault="009C0C0D" w:rsidP="008A29ED"/>
        </w:tc>
        <w:tc>
          <w:tcPr>
            <w:tcW w:w="2767" w:type="dxa"/>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Staff action </w:t>
            </w:r>
          </w:p>
        </w:tc>
        <w:tc>
          <w:tcPr>
            <w:tcW w:w="2768" w:type="dxa"/>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9C0C0D" w:rsidRPr="001A697B" w:rsidRDefault="009C0C0D" w:rsidP="008A29ED"/>
        </w:tc>
        <w:tc>
          <w:tcPr>
            <w:tcW w:w="2767" w:type="dxa"/>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Vandalism </w:t>
            </w:r>
          </w:p>
        </w:tc>
        <w:tc>
          <w:tcPr>
            <w:tcW w:w="2768" w:type="dxa"/>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2 </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9C0C0D" w:rsidRPr="001A697B" w:rsidRDefault="009C0C0D" w:rsidP="008A29ED"/>
        </w:tc>
        <w:tc>
          <w:tcPr>
            <w:tcW w:w="2767" w:type="dxa"/>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Relationship with staff </w:t>
            </w:r>
          </w:p>
        </w:tc>
        <w:tc>
          <w:tcPr>
            <w:tcW w:w="2768" w:type="dxa"/>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9C0C0D" w:rsidRPr="001A697B" w:rsidRDefault="009C0C0D" w:rsidP="008A29ED">
            <w:proofErr w:type="spellStart"/>
            <w:r w:rsidRPr="001A697B">
              <w:t>Geel</w:t>
            </w:r>
            <w:proofErr w:type="spellEnd"/>
            <w:r w:rsidRPr="001A697B">
              <w:t xml:space="preserve"> </w:t>
            </w:r>
          </w:p>
        </w:tc>
        <w:tc>
          <w:tcPr>
            <w:tcW w:w="2767" w:type="dxa"/>
            <w:tcBorders>
              <w:top w:val="single" w:sz="12" w:space="0" w:color="4F81BD" w:themeColor="accent1"/>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Other </w:t>
            </w:r>
          </w:p>
        </w:tc>
        <w:tc>
          <w:tcPr>
            <w:tcW w:w="2768" w:type="dxa"/>
            <w:tcBorders>
              <w:top w:val="single" w:sz="12" w:space="0" w:color="4F81BD" w:themeColor="accent1"/>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1 </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9C0C0D" w:rsidRPr="001A697B" w:rsidRDefault="009C0C0D" w:rsidP="008A29ED">
            <w:r w:rsidRPr="001A697B">
              <w:t xml:space="preserve">Head Office </w:t>
            </w:r>
          </w:p>
        </w:tc>
        <w:tc>
          <w:tcPr>
            <w:tcW w:w="2767" w:type="dxa"/>
            <w:tcBorders>
              <w:top w:val="single" w:sz="12" w:space="0" w:color="4F81BD" w:themeColor="accent1"/>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Other </w:t>
            </w:r>
          </w:p>
        </w:tc>
        <w:tc>
          <w:tcPr>
            <w:tcW w:w="2768" w:type="dxa"/>
            <w:tcBorders>
              <w:top w:val="single" w:sz="12" w:space="0" w:color="4F81BD" w:themeColor="accent1"/>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9C0C0D" w:rsidRPr="001A697B" w:rsidRDefault="009C0C0D" w:rsidP="008A29ED">
            <w:r w:rsidRPr="001A697B">
              <w:t xml:space="preserve">James Nugent Court </w:t>
            </w:r>
          </w:p>
        </w:tc>
        <w:tc>
          <w:tcPr>
            <w:tcW w:w="2767" w:type="dxa"/>
            <w:tcBorders>
              <w:top w:val="single" w:sz="12" w:space="0" w:color="4F81BD" w:themeColor="accent1"/>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 xml:space="preserve">Other </w:t>
            </w:r>
          </w:p>
        </w:tc>
        <w:tc>
          <w:tcPr>
            <w:tcW w:w="2768" w:type="dxa"/>
            <w:tcBorders>
              <w:top w:val="single" w:sz="12" w:space="0" w:color="4F81BD" w:themeColor="accent1"/>
            </w:tcBorders>
          </w:tcPr>
          <w:p w:rsidR="009C0C0D" w:rsidRPr="001A697B" w:rsidRDefault="009C0C0D" w:rsidP="008A29ED">
            <w:pPr>
              <w:cnfStyle w:val="000000000000" w:firstRow="0" w:lastRow="0" w:firstColumn="0" w:lastColumn="0" w:oddVBand="0" w:evenVBand="0" w:oddHBand="0" w:evenHBand="0" w:firstRowFirstColumn="0" w:firstRowLastColumn="0" w:lastRowFirstColumn="0" w:lastRowLastColumn="0"/>
            </w:pPr>
            <w:r w:rsidRPr="001A697B">
              <w:t>2</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9C0C0D" w:rsidRPr="001A697B" w:rsidRDefault="009C0C0D" w:rsidP="008A29ED"/>
        </w:tc>
        <w:tc>
          <w:tcPr>
            <w:tcW w:w="2767" w:type="dxa"/>
          </w:tcPr>
          <w:p w:rsidR="009C0C0D" w:rsidRPr="001A697B" w:rsidRDefault="00C251DE" w:rsidP="008A29ED">
            <w:pPr>
              <w:cnfStyle w:val="000000000000" w:firstRow="0" w:lastRow="0" w:firstColumn="0" w:lastColumn="0" w:oddVBand="0" w:evenVBand="0" w:oddHBand="0" w:evenHBand="0" w:firstRowFirstColumn="0" w:firstRowLastColumn="0" w:lastRowFirstColumn="0" w:lastRowLastColumn="0"/>
            </w:pPr>
            <w:r w:rsidRPr="001A697B">
              <w:t xml:space="preserve">Staff action </w:t>
            </w:r>
          </w:p>
        </w:tc>
        <w:tc>
          <w:tcPr>
            <w:tcW w:w="2768" w:type="dxa"/>
          </w:tcPr>
          <w:p w:rsidR="009C0C0D" w:rsidRPr="001A697B" w:rsidRDefault="00C251DE" w:rsidP="008A29ED">
            <w:pPr>
              <w:cnfStyle w:val="000000000000" w:firstRow="0" w:lastRow="0" w:firstColumn="0" w:lastColumn="0" w:oddVBand="0" w:evenVBand="0" w:oddHBand="0" w:evenHBand="0" w:firstRowFirstColumn="0" w:firstRowLastColumn="0" w:lastRowFirstColumn="0" w:lastRowLastColumn="0"/>
            </w:pPr>
            <w:r w:rsidRPr="001A697B">
              <w:t xml:space="preserve">2 </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9C0C0D" w:rsidRPr="001A697B" w:rsidRDefault="009C0C0D" w:rsidP="008A29ED"/>
        </w:tc>
        <w:tc>
          <w:tcPr>
            <w:tcW w:w="2767" w:type="dxa"/>
          </w:tcPr>
          <w:p w:rsidR="009C0C0D" w:rsidRPr="001A697B" w:rsidRDefault="00C251DE" w:rsidP="008A29ED">
            <w:pPr>
              <w:cnfStyle w:val="000000000000" w:firstRow="0" w:lastRow="0" w:firstColumn="0" w:lastColumn="0" w:oddVBand="0" w:evenVBand="0" w:oddHBand="0" w:evenHBand="0" w:firstRowFirstColumn="0" w:firstRowLastColumn="0" w:lastRowFirstColumn="0" w:lastRowLastColumn="0"/>
            </w:pPr>
            <w:r w:rsidRPr="001A697B">
              <w:t xml:space="preserve">Medication </w:t>
            </w:r>
          </w:p>
        </w:tc>
        <w:tc>
          <w:tcPr>
            <w:tcW w:w="2768" w:type="dxa"/>
          </w:tcPr>
          <w:p w:rsidR="009C0C0D" w:rsidRPr="001A697B" w:rsidRDefault="00C251DE"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9C0C0D"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9C0C0D" w:rsidRPr="001A697B" w:rsidRDefault="009C0C0D" w:rsidP="008A29ED"/>
        </w:tc>
        <w:tc>
          <w:tcPr>
            <w:tcW w:w="2767" w:type="dxa"/>
          </w:tcPr>
          <w:p w:rsidR="009C0C0D" w:rsidRPr="001A697B" w:rsidRDefault="00C251DE" w:rsidP="008A29ED">
            <w:pPr>
              <w:cnfStyle w:val="000000000000" w:firstRow="0" w:lastRow="0" w:firstColumn="0" w:lastColumn="0" w:oddVBand="0" w:evenVBand="0" w:oddHBand="0" w:evenHBand="0" w:firstRowFirstColumn="0" w:firstRowLastColumn="0" w:lastRowFirstColumn="0" w:lastRowLastColumn="0"/>
            </w:pPr>
            <w:r w:rsidRPr="001A697B">
              <w:t xml:space="preserve">Landry </w:t>
            </w:r>
          </w:p>
        </w:tc>
        <w:tc>
          <w:tcPr>
            <w:tcW w:w="2768" w:type="dxa"/>
          </w:tcPr>
          <w:p w:rsidR="009C0C0D" w:rsidRPr="001A697B" w:rsidRDefault="00C251DE"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C251DE"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C251DE" w:rsidRPr="001A697B" w:rsidRDefault="00C251DE" w:rsidP="008A29ED"/>
        </w:tc>
        <w:tc>
          <w:tcPr>
            <w:tcW w:w="2767" w:type="dxa"/>
          </w:tcPr>
          <w:p w:rsidR="00C251DE" w:rsidRPr="001A697B" w:rsidRDefault="00C251DE" w:rsidP="008A29ED">
            <w:pPr>
              <w:cnfStyle w:val="000000000000" w:firstRow="0" w:lastRow="0" w:firstColumn="0" w:lastColumn="0" w:oddVBand="0" w:evenVBand="0" w:oddHBand="0" w:evenHBand="0" w:firstRowFirstColumn="0" w:firstRowLastColumn="0" w:lastRowFirstColumn="0" w:lastRowLastColumn="0"/>
            </w:pPr>
            <w:r w:rsidRPr="001A697B">
              <w:t xml:space="preserve">Finance </w:t>
            </w:r>
          </w:p>
        </w:tc>
        <w:tc>
          <w:tcPr>
            <w:tcW w:w="2768" w:type="dxa"/>
          </w:tcPr>
          <w:p w:rsidR="00C251DE" w:rsidRPr="001A697B" w:rsidRDefault="00C251DE" w:rsidP="008A29ED">
            <w:pPr>
              <w:cnfStyle w:val="000000000000" w:firstRow="0" w:lastRow="0" w:firstColumn="0" w:lastColumn="0" w:oddVBand="0" w:evenVBand="0" w:oddHBand="0" w:evenHBand="0" w:firstRowFirstColumn="0" w:firstRowLastColumn="0" w:lastRowFirstColumn="0" w:lastRowLastColumn="0"/>
            </w:pPr>
            <w:r w:rsidRPr="001A697B">
              <w:t xml:space="preserve">1 </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160968" w:rsidRPr="001A697B" w:rsidRDefault="00160968" w:rsidP="008A29ED">
            <w:r w:rsidRPr="001A697B">
              <w:t xml:space="preserve">Margaret Roper House </w:t>
            </w:r>
          </w:p>
        </w:tc>
        <w:tc>
          <w:tcPr>
            <w:tcW w:w="2767" w:type="dxa"/>
            <w:tcBorders>
              <w:top w:val="single" w:sz="12" w:space="0" w:color="4F81BD" w:themeColor="accent1"/>
            </w:tcBorders>
          </w:tcPr>
          <w:p w:rsidR="00160968" w:rsidRPr="001A697B" w:rsidRDefault="00160968" w:rsidP="008A29ED">
            <w:pPr>
              <w:cnfStyle w:val="000000000000" w:firstRow="0" w:lastRow="0" w:firstColumn="0" w:lastColumn="0" w:oddVBand="0" w:evenVBand="0" w:oddHBand="0" w:evenHBand="0" w:firstRowFirstColumn="0" w:firstRowLastColumn="0" w:lastRowFirstColumn="0" w:lastRowLastColumn="0"/>
            </w:pPr>
            <w:r w:rsidRPr="001A697B">
              <w:t xml:space="preserve">Staff Actions </w:t>
            </w:r>
          </w:p>
        </w:tc>
        <w:tc>
          <w:tcPr>
            <w:tcW w:w="2768" w:type="dxa"/>
            <w:tcBorders>
              <w:top w:val="single" w:sz="12" w:space="0" w:color="4F81BD" w:themeColor="accent1"/>
            </w:tcBorders>
          </w:tcPr>
          <w:p w:rsidR="00160968" w:rsidRPr="001A697B" w:rsidRDefault="00160968"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160968" w:rsidRPr="001A697B" w:rsidRDefault="00160968" w:rsidP="008A29ED">
            <w:r w:rsidRPr="001A697B">
              <w:t xml:space="preserve">New Beginnings </w:t>
            </w:r>
          </w:p>
        </w:tc>
        <w:tc>
          <w:tcPr>
            <w:tcW w:w="2767" w:type="dxa"/>
            <w:tcBorders>
              <w:top w:val="single" w:sz="12" w:space="0" w:color="4F81BD" w:themeColor="accent1"/>
            </w:tcBorders>
          </w:tcPr>
          <w:p w:rsidR="00160968" w:rsidRPr="001A697B" w:rsidRDefault="00160968" w:rsidP="008A29ED">
            <w:pPr>
              <w:cnfStyle w:val="000000000000" w:firstRow="0" w:lastRow="0" w:firstColumn="0" w:lastColumn="0" w:oddVBand="0" w:evenVBand="0" w:oddHBand="0" w:evenHBand="0" w:firstRowFirstColumn="0" w:firstRowLastColumn="0" w:lastRowFirstColumn="0" w:lastRowLastColumn="0"/>
            </w:pPr>
            <w:r w:rsidRPr="001A697B">
              <w:t xml:space="preserve">Staff Actions </w:t>
            </w:r>
          </w:p>
        </w:tc>
        <w:tc>
          <w:tcPr>
            <w:tcW w:w="2768" w:type="dxa"/>
            <w:tcBorders>
              <w:top w:val="single" w:sz="12" w:space="0" w:color="4F81BD" w:themeColor="accent1"/>
            </w:tcBorders>
          </w:tcPr>
          <w:p w:rsidR="00160968" w:rsidRPr="001A697B" w:rsidRDefault="00160968"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160968" w:rsidRPr="001A697B" w:rsidRDefault="001E3A41" w:rsidP="008A29ED">
            <w:r w:rsidRPr="001A697B">
              <w:t xml:space="preserve">Nugent House School </w:t>
            </w:r>
          </w:p>
        </w:tc>
        <w:tc>
          <w:tcPr>
            <w:tcW w:w="2767" w:type="dxa"/>
            <w:tcBorders>
              <w:top w:val="single" w:sz="12" w:space="0" w:color="4F81BD" w:themeColor="accent1"/>
            </w:tcBorders>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Behavioral</w:t>
            </w:r>
          </w:p>
        </w:tc>
        <w:tc>
          <w:tcPr>
            <w:tcW w:w="2768" w:type="dxa"/>
            <w:tcBorders>
              <w:top w:val="single" w:sz="12" w:space="0" w:color="4F81BD" w:themeColor="accent1"/>
            </w:tcBorders>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6</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160968" w:rsidRPr="001A697B" w:rsidRDefault="00160968" w:rsidP="008A29ED"/>
        </w:tc>
        <w:tc>
          <w:tcPr>
            <w:tcW w:w="2767" w:type="dxa"/>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 xml:space="preserve">Other </w:t>
            </w:r>
          </w:p>
        </w:tc>
        <w:tc>
          <w:tcPr>
            <w:tcW w:w="2768" w:type="dxa"/>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2</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160968" w:rsidRPr="001A697B" w:rsidRDefault="00160968" w:rsidP="008A29ED"/>
        </w:tc>
        <w:tc>
          <w:tcPr>
            <w:tcW w:w="2767" w:type="dxa"/>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 xml:space="preserve">Bullying </w:t>
            </w:r>
          </w:p>
        </w:tc>
        <w:tc>
          <w:tcPr>
            <w:tcW w:w="2768" w:type="dxa"/>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160968" w:rsidRPr="001A697B" w:rsidRDefault="00160968" w:rsidP="008A29ED"/>
        </w:tc>
        <w:tc>
          <w:tcPr>
            <w:tcW w:w="2767" w:type="dxa"/>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 xml:space="preserve">Relationship with SU </w:t>
            </w:r>
          </w:p>
        </w:tc>
        <w:tc>
          <w:tcPr>
            <w:tcW w:w="2768" w:type="dxa"/>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2</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160968" w:rsidRPr="001A697B" w:rsidRDefault="001E3A41" w:rsidP="008A29ED">
            <w:r w:rsidRPr="001A697B">
              <w:t xml:space="preserve">Public </w:t>
            </w:r>
          </w:p>
        </w:tc>
        <w:tc>
          <w:tcPr>
            <w:tcW w:w="2767" w:type="dxa"/>
            <w:tcBorders>
              <w:top w:val="single" w:sz="12" w:space="0" w:color="4F81BD" w:themeColor="accent1"/>
            </w:tcBorders>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 xml:space="preserve">Other </w:t>
            </w:r>
          </w:p>
        </w:tc>
        <w:tc>
          <w:tcPr>
            <w:tcW w:w="2768" w:type="dxa"/>
            <w:tcBorders>
              <w:top w:val="single" w:sz="12" w:space="0" w:color="4F81BD" w:themeColor="accent1"/>
            </w:tcBorders>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160968" w:rsidRPr="001A697B" w:rsidRDefault="001E3A41" w:rsidP="008A29ED">
            <w:r w:rsidRPr="001A697B">
              <w:t xml:space="preserve">Social School Work </w:t>
            </w:r>
          </w:p>
        </w:tc>
        <w:tc>
          <w:tcPr>
            <w:tcW w:w="2767" w:type="dxa"/>
            <w:tcBorders>
              <w:top w:val="single" w:sz="12" w:space="0" w:color="4F81BD" w:themeColor="accent1"/>
            </w:tcBorders>
          </w:tcPr>
          <w:p w:rsidR="00160968" w:rsidRPr="001A697B" w:rsidRDefault="001E3A41" w:rsidP="008A29ED">
            <w:pPr>
              <w:cnfStyle w:val="000000000000" w:firstRow="0" w:lastRow="0" w:firstColumn="0" w:lastColumn="0" w:oddVBand="0" w:evenVBand="0" w:oddHBand="0" w:evenHBand="0" w:firstRowFirstColumn="0" w:firstRowLastColumn="0" w:lastRowFirstColumn="0" w:lastRowLastColumn="0"/>
            </w:pPr>
            <w:r w:rsidRPr="001A697B">
              <w:t xml:space="preserve">Staff Actions </w:t>
            </w:r>
          </w:p>
        </w:tc>
        <w:tc>
          <w:tcPr>
            <w:tcW w:w="2768" w:type="dxa"/>
            <w:tcBorders>
              <w:top w:val="single" w:sz="12" w:space="0" w:color="4F81BD" w:themeColor="accent1"/>
            </w:tcBorders>
          </w:tcPr>
          <w:p w:rsidR="00160968" w:rsidRPr="001A697B" w:rsidRDefault="00160968" w:rsidP="008A29ED">
            <w:pPr>
              <w:cnfStyle w:val="000000000000" w:firstRow="0" w:lastRow="0" w:firstColumn="0" w:lastColumn="0" w:oddVBand="0" w:evenVBand="0" w:oddHBand="0" w:evenHBand="0" w:firstRowFirstColumn="0" w:firstRowLastColumn="0" w:lastRowFirstColumn="0" w:lastRowLastColumn="0"/>
            </w:pP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Borders>
              <w:top w:val="single" w:sz="12" w:space="0" w:color="4F81BD" w:themeColor="accent1"/>
            </w:tcBorders>
          </w:tcPr>
          <w:p w:rsidR="00160968" w:rsidRPr="001A697B" w:rsidRDefault="001E3A41" w:rsidP="008A29ED">
            <w:proofErr w:type="spellStart"/>
            <w:r w:rsidRPr="001A697B">
              <w:t>St.Catherines</w:t>
            </w:r>
            <w:proofErr w:type="spellEnd"/>
            <w:r w:rsidRPr="001A697B">
              <w:t xml:space="preserve"> </w:t>
            </w:r>
          </w:p>
        </w:tc>
        <w:tc>
          <w:tcPr>
            <w:tcW w:w="2767" w:type="dxa"/>
            <w:tcBorders>
              <w:top w:val="single" w:sz="12" w:space="0" w:color="4F81BD" w:themeColor="accent1"/>
            </w:tcBorders>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 xml:space="preserve">Confidentiality </w:t>
            </w:r>
          </w:p>
        </w:tc>
        <w:tc>
          <w:tcPr>
            <w:tcW w:w="2768" w:type="dxa"/>
            <w:tcBorders>
              <w:top w:val="single" w:sz="12" w:space="0" w:color="4F81BD" w:themeColor="accent1"/>
            </w:tcBorders>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160968" w:rsidRPr="001A697B" w:rsidRDefault="00160968" w:rsidP="008A29ED"/>
        </w:tc>
        <w:tc>
          <w:tcPr>
            <w:tcW w:w="2767" w:type="dxa"/>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 xml:space="preserve">Staff Actions </w:t>
            </w:r>
          </w:p>
        </w:tc>
        <w:tc>
          <w:tcPr>
            <w:tcW w:w="2768" w:type="dxa"/>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21</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160968" w:rsidRPr="001A697B" w:rsidRDefault="00160968" w:rsidP="008A29ED"/>
        </w:tc>
        <w:tc>
          <w:tcPr>
            <w:tcW w:w="2767" w:type="dxa"/>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 xml:space="preserve">Activities </w:t>
            </w:r>
          </w:p>
        </w:tc>
        <w:tc>
          <w:tcPr>
            <w:tcW w:w="2768" w:type="dxa"/>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160968" w:rsidRPr="001A697B" w:rsidRDefault="00160968" w:rsidP="008A29ED"/>
        </w:tc>
        <w:tc>
          <w:tcPr>
            <w:tcW w:w="2767" w:type="dxa"/>
          </w:tcPr>
          <w:p w:rsidR="00160968" w:rsidRPr="001A697B" w:rsidRDefault="00045C68" w:rsidP="008A29ED">
            <w:pPr>
              <w:cnfStyle w:val="000000000000" w:firstRow="0" w:lastRow="0" w:firstColumn="0" w:lastColumn="0" w:oddVBand="0" w:evenVBand="0" w:oddHBand="0" w:evenHBand="0" w:firstRowFirstColumn="0" w:firstRowLastColumn="0" w:lastRowFirstColumn="0" w:lastRowLastColumn="0"/>
            </w:pPr>
            <w:proofErr w:type="spellStart"/>
            <w:r w:rsidRPr="001A697B">
              <w:t>Behavioural</w:t>
            </w:r>
            <w:proofErr w:type="spellEnd"/>
            <w:r w:rsidR="003301B7" w:rsidRPr="001A697B">
              <w:t xml:space="preserve"> </w:t>
            </w:r>
          </w:p>
        </w:tc>
        <w:tc>
          <w:tcPr>
            <w:tcW w:w="2768" w:type="dxa"/>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 xml:space="preserve">7 </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160968" w:rsidRPr="001A697B" w:rsidRDefault="00160968" w:rsidP="008A29ED"/>
        </w:tc>
        <w:tc>
          <w:tcPr>
            <w:tcW w:w="2767" w:type="dxa"/>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 xml:space="preserve">Bullying </w:t>
            </w:r>
          </w:p>
        </w:tc>
        <w:tc>
          <w:tcPr>
            <w:tcW w:w="2768" w:type="dxa"/>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3</w:t>
            </w:r>
          </w:p>
        </w:tc>
      </w:tr>
      <w:tr w:rsidR="00160968"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160968" w:rsidRPr="001A697B" w:rsidRDefault="00160968" w:rsidP="008A29ED"/>
        </w:tc>
        <w:tc>
          <w:tcPr>
            <w:tcW w:w="2767" w:type="dxa"/>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Care</w:t>
            </w:r>
          </w:p>
        </w:tc>
        <w:tc>
          <w:tcPr>
            <w:tcW w:w="2768" w:type="dxa"/>
          </w:tcPr>
          <w:p w:rsidR="00160968"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3301B7"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3301B7" w:rsidRPr="001A697B" w:rsidRDefault="003301B7" w:rsidP="008A29ED"/>
        </w:tc>
        <w:tc>
          <w:tcPr>
            <w:tcW w:w="2767" w:type="dxa"/>
          </w:tcPr>
          <w:p w:rsidR="003301B7"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 xml:space="preserve">Property </w:t>
            </w:r>
          </w:p>
        </w:tc>
        <w:tc>
          <w:tcPr>
            <w:tcW w:w="2768" w:type="dxa"/>
          </w:tcPr>
          <w:p w:rsidR="003301B7"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2</w:t>
            </w:r>
          </w:p>
        </w:tc>
      </w:tr>
      <w:tr w:rsidR="003301B7"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3301B7" w:rsidRPr="001A697B" w:rsidRDefault="003301B7" w:rsidP="008A29ED"/>
        </w:tc>
        <w:tc>
          <w:tcPr>
            <w:tcW w:w="2767" w:type="dxa"/>
          </w:tcPr>
          <w:p w:rsidR="003301B7"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 xml:space="preserve">Medication </w:t>
            </w:r>
          </w:p>
        </w:tc>
        <w:tc>
          <w:tcPr>
            <w:tcW w:w="2768" w:type="dxa"/>
          </w:tcPr>
          <w:p w:rsidR="003301B7"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1</w:t>
            </w:r>
          </w:p>
        </w:tc>
      </w:tr>
      <w:tr w:rsidR="003301B7" w:rsidRPr="001A697B" w:rsidTr="00045C68">
        <w:tc>
          <w:tcPr>
            <w:cnfStyle w:val="001000000000" w:firstRow="0" w:lastRow="0" w:firstColumn="1" w:lastColumn="0" w:oddVBand="0" w:evenVBand="0" w:oddHBand="0" w:evenHBand="0" w:firstRowFirstColumn="0" w:firstRowLastColumn="0" w:lastRowFirstColumn="0" w:lastRowLastColumn="0"/>
            <w:tcW w:w="2767" w:type="dxa"/>
          </w:tcPr>
          <w:p w:rsidR="003301B7" w:rsidRPr="001A697B" w:rsidRDefault="003301B7" w:rsidP="008A29ED"/>
        </w:tc>
        <w:tc>
          <w:tcPr>
            <w:tcW w:w="2767" w:type="dxa"/>
          </w:tcPr>
          <w:p w:rsidR="003301B7"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 xml:space="preserve">Other </w:t>
            </w:r>
          </w:p>
        </w:tc>
        <w:tc>
          <w:tcPr>
            <w:tcW w:w="2768" w:type="dxa"/>
          </w:tcPr>
          <w:p w:rsidR="003301B7" w:rsidRPr="001A697B" w:rsidRDefault="003301B7" w:rsidP="008A29ED">
            <w:pPr>
              <w:cnfStyle w:val="000000000000" w:firstRow="0" w:lastRow="0" w:firstColumn="0" w:lastColumn="0" w:oddVBand="0" w:evenVBand="0" w:oddHBand="0" w:evenHBand="0" w:firstRowFirstColumn="0" w:firstRowLastColumn="0" w:lastRowFirstColumn="0" w:lastRowLastColumn="0"/>
            </w:pPr>
            <w:r w:rsidRPr="001A697B">
              <w:t>3</w:t>
            </w:r>
          </w:p>
        </w:tc>
      </w:tr>
    </w:tbl>
    <w:p w:rsidR="009C0C0D" w:rsidRPr="00984578" w:rsidRDefault="009C0C0D" w:rsidP="008A29ED">
      <w:pPr>
        <w:pStyle w:val="Heading1"/>
      </w:pPr>
    </w:p>
    <w:p w:rsidR="009621E5" w:rsidRPr="00984578" w:rsidRDefault="009621E5" w:rsidP="008A29ED">
      <w:pPr>
        <w:pStyle w:val="Heading1"/>
      </w:pPr>
      <w:bookmarkStart w:id="16" w:name="_Toc481480480"/>
      <w:r w:rsidRPr="00984578">
        <w:t>Strategies put in place</w:t>
      </w:r>
      <w:bookmarkEnd w:id="16"/>
    </w:p>
    <w:p w:rsidR="009621E5" w:rsidRPr="00984578" w:rsidRDefault="009621E5" w:rsidP="008A29ED">
      <w:r w:rsidRPr="00984578">
        <w:t>As a result of the complaints investigations undertaken during this period a number of strategies have been put in place in order to resolve issues and reduce the likelihood of reoccurrence. These include:</w:t>
      </w:r>
    </w:p>
    <w:p w:rsidR="009621E5" w:rsidRPr="00984578" w:rsidRDefault="009621E5" w:rsidP="008A29ED"/>
    <w:p w:rsidR="00984578" w:rsidRPr="00984578" w:rsidRDefault="00984578" w:rsidP="008A29ED">
      <w:pPr>
        <w:pStyle w:val="ListParagraph"/>
        <w:numPr>
          <w:ilvl w:val="0"/>
          <w:numId w:val="4"/>
        </w:numPr>
      </w:pPr>
      <w:r w:rsidRPr="00984578">
        <w:t xml:space="preserve">Changes to living conditions and surrounds </w:t>
      </w:r>
    </w:p>
    <w:p w:rsidR="009621E5" w:rsidRPr="00984578" w:rsidRDefault="009621E5" w:rsidP="008A29ED">
      <w:pPr>
        <w:pStyle w:val="ListParagraph"/>
        <w:numPr>
          <w:ilvl w:val="0"/>
          <w:numId w:val="4"/>
        </w:numPr>
      </w:pPr>
      <w:r w:rsidRPr="00984578">
        <w:t>Processes reviewed and revised</w:t>
      </w:r>
    </w:p>
    <w:p w:rsidR="009621E5" w:rsidRPr="00984578" w:rsidRDefault="009621E5" w:rsidP="008A29ED">
      <w:pPr>
        <w:pStyle w:val="ListParagraph"/>
        <w:numPr>
          <w:ilvl w:val="0"/>
          <w:numId w:val="4"/>
        </w:numPr>
      </w:pPr>
      <w:r w:rsidRPr="00984578">
        <w:t>Additional support for individuals</w:t>
      </w:r>
    </w:p>
    <w:p w:rsidR="009621E5" w:rsidRPr="00984578" w:rsidRDefault="00984578" w:rsidP="008A29ED">
      <w:pPr>
        <w:pStyle w:val="ListParagraph"/>
        <w:numPr>
          <w:ilvl w:val="0"/>
          <w:numId w:val="4"/>
        </w:numPr>
      </w:pPr>
      <w:r w:rsidRPr="00984578">
        <w:t>Increasing monito</w:t>
      </w:r>
      <w:r w:rsidR="00E30922">
        <w:t>ring of service users to improve</w:t>
      </w:r>
      <w:r w:rsidRPr="00984578">
        <w:t xml:space="preserve"> </w:t>
      </w:r>
      <w:proofErr w:type="spellStart"/>
      <w:r w:rsidRPr="00984578">
        <w:t>behaviour</w:t>
      </w:r>
      <w:proofErr w:type="spellEnd"/>
    </w:p>
    <w:p w:rsidR="009621E5" w:rsidRPr="00984578" w:rsidRDefault="00984578" w:rsidP="008A29ED">
      <w:pPr>
        <w:pStyle w:val="ListParagraph"/>
        <w:numPr>
          <w:ilvl w:val="0"/>
          <w:numId w:val="4"/>
        </w:numPr>
      </w:pPr>
      <w:r w:rsidRPr="00984578">
        <w:t>Service user meeting</w:t>
      </w:r>
      <w:r w:rsidR="009621E5" w:rsidRPr="00984578">
        <w:t xml:space="preserve"> to settle disputes between young peopl</w:t>
      </w:r>
      <w:r w:rsidR="00AB20D0" w:rsidRPr="00984578">
        <w:t>e</w:t>
      </w:r>
    </w:p>
    <w:p w:rsidR="00AB20D0" w:rsidRPr="00984578" w:rsidRDefault="00984578" w:rsidP="008A29ED">
      <w:pPr>
        <w:pStyle w:val="ListParagraph"/>
        <w:numPr>
          <w:ilvl w:val="0"/>
          <w:numId w:val="4"/>
        </w:numPr>
      </w:pPr>
      <w:r w:rsidRPr="00984578">
        <w:t xml:space="preserve">Improved care of services users laundry and belongings </w:t>
      </w:r>
    </w:p>
    <w:p w:rsidR="00C431D4" w:rsidRPr="00984578" w:rsidRDefault="00C431D4" w:rsidP="008A29ED">
      <w:pPr>
        <w:pStyle w:val="ListParagraph"/>
        <w:numPr>
          <w:ilvl w:val="0"/>
          <w:numId w:val="4"/>
        </w:numPr>
      </w:pPr>
      <w:r w:rsidRPr="00984578">
        <w:t xml:space="preserve">Updating and reviewing care plans </w:t>
      </w:r>
    </w:p>
    <w:p w:rsidR="00984578" w:rsidRPr="00984578" w:rsidRDefault="00984578" w:rsidP="008A29ED">
      <w:pPr>
        <w:pStyle w:val="ListParagraph"/>
        <w:numPr>
          <w:ilvl w:val="0"/>
          <w:numId w:val="4"/>
        </w:numPr>
      </w:pPr>
      <w:r w:rsidRPr="00984578">
        <w:t xml:space="preserve">Increase response time. </w:t>
      </w:r>
    </w:p>
    <w:p w:rsidR="00805B1C" w:rsidRPr="00984578" w:rsidRDefault="00805B1C" w:rsidP="008A29ED"/>
    <w:p w:rsidR="00805B1C" w:rsidRPr="00984578" w:rsidRDefault="00805B1C" w:rsidP="008A29ED"/>
    <w:p w:rsidR="00805B1C" w:rsidRPr="00984578" w:rsidRDefault="00805B1C" w:rsidP="008A29ED"/>
    <w:p w:rsidR="00A54746" w:rsidRPr="00984578" w:rsidRDefault="00A54746" w:rsidP="008A29ED">
      <w:pPr>
        <w:pStyle w:val="Heading1"/>
      </w:pPr>
    </w:p>
    <w:p w:rsidR="00A54746" w:rsidRPr="00984578" w:rsidRDefault="00A54746" w:rsidP="008A29ED"/>
    <w:p w:rsidR="008A79B6" w:rsidRPr="00984578" w:rsidRDefault="00DB1616" w:rsidP="008A29ED">
      <w:pPr>
        <w:pStyle w:val="Heading1"/>
      </w:pPr>
      <w:r w:rsidRPr="00984578">
        <w:br w:type="page"/>
      </w:r>
      <w:bookmarkStart w:id="17" w:name="_Toc292197857"/>
      <w:bookmarkStart w:id="18" w:name="_Toc481480481"/>
      <w:r w:rsidRPr="00984578">
        <w:lastRenderedPageBreak/>
        <w:t>Compliments</w:t>
      </w:r>
      <w:bookmarkEnd w:id="17"/>
      <w:bookmarkEnd w:id="18"/>
    </w:p>
    <w:p w:rsidR="00E2382E" w:rsidRPr="00984578" w:rsidRDefault="00E2382E" w:rsidP="008A29ED"/>
    <w:p w:rsidR="00F0610B" w:rsidRPr="00984578" w:rsidRDefault="00174A2D" w:rsidP="008A29ED">
      <w:r>
        <w:t>Nugent</w:t>
      </w:r>
      <w:r w:rsidR="008E24F5">
        <w:t xml:space="preserve"> has</w:t>
      </w:r>
      <w:r w:rsidR="00694304" w:rsidRPr="00984578">
        <w:t xml:space="preserve"> found that service users and their relatives/</w:t>
      </w:r>
      <w:proofErr w:type="spellStart"/>
      <w:r w:rsidR="00694304" w:rsidRPr="00984578">
        <w:t>carers</w:t>
      </w:r>
      <w:proofErr w:type="spellEnd"/>
      <w:r w:rsidR="00694304" w:rsidRPr="00984578">
        <w:t xml:space="preserve"> often praise the service they receive when they complete the annual satisfaction surveys. When the surveys are </w:t>
      </w:r>
      <w:proofErr w:type="spellStart"/>
      <w:r w:rsidR="00694304" w:rsidRPr="00984578">
        <w:t>analysed</w:t>
      </w:r>
      <w:proofErr w:type="spellEnd"/>
      <w:r w:rsidR="00694304" w:rsidRPr="00984578">
        <w:t xml:space="preserve"> by </w:t>
      </w:r>
      <w:r w:rsidR="008F0E1D" w:rsidRPr="00984578">
        <w:t xml:space="preserve">Quality Assurance </w:t>
      </w:r>
      <w:r w:rsidR="00694304" w:rsidRPr="00984578">
        <w:t xml:space="preserve">all comments, including compliments are recorded and reported back to the service managers. </w:t>
      </w:r>
    </w:p>
    <w:p w:rsidR="00F0610B" w:rsidRPr="00984578" w:rsidRDefault="00F0610B" w:rsidP="008A29ED"/>
    <w:p w:rsidR="00694304" w:rsidRPr="00984578" w:rsidRDefault="005A0EA4" w:rsidP="008A29ED">
      <w:pPr>
        <w:pStyle w:val="Heading1"/>
      </w:pPr>
      <w:bookmarkStart w:id="19" w:name="_Toc481480482"/>
      <w:r w:rsidRPr="00984578">
        <w:t>Sample of compliments over the last 12 months</w:t>
      </w:r>
      <w:bookmarkEnd w:id="19"/>
    </w:p>
    <w:p w:rsidR="00C431D4" w:rsidRPr="00984578" w:rsidRDefault="00C431D4" w:rsidP="008A29ED"/>
    <w:p w:rsidR="00C431D4" w:rsidRDefault="008E24F5" w:rsidP="008A29ED">
      <w:r>
        <w:t>Adoption S</w:t>
      </w:r>
      <w:r w:rsidR="00C431D4" w:rsidRPr="00984578">
        <w:t xml:space="preserve">ervice </w:t>
      </w:r>
    </w:p>
    <w:p w:rsidR="001A697B" w:rsidRPr="00984578" w:rsidRDefault="001A697B" w:rsidP="008A29ED"/>
    <w:p w:rsidR="00C431D4" w:rsidRPr="00984578" w:rsidRDefault="00C431D4" w:rsidP="008A29ED">
      <w:pPr>
        <w:pStyle w:val="ListParagraph"/>
        <w:numPr>
          <w:ilvl w:val="0"/>
          <w:numId w:val="10"/>
        </w:numPr>
      </w:pPr>
      <w:r w:rsidRPr="00984578">
        <w:t>We were very im</w:t>
      </w:r>
      <w:r w:rsidR="008E24F5">
        <w:t>pressed with your service. L</w:t>
      </w:r>
      <w:r w:rsidRPr="00984578">
        <w:t xml:space="preserve"> our social worker was an absolute star – very enthusiastic and driven. Her questions were incisive and her analysis and interpretation of our lives and lifestyle was insightful. The rest of the Nugent tea</w:t>
      </w:r>
      <w:r w:rsidR="008E24F5">
        <w:t>m were also excellent, from P</w:t>
      </w:r>
      <w:r w:rsidRPr="00984578">
        <w:t xml:space="preserve"> who first visited us to all the other team members who contributed to the preparation sessions – perhaps by being invited to view the children on the Adoption Link website.</w:t>
      </w:r>
    </w:p>
    <w:p w:rsidR="00C431D4" w:rsidRPr="00984578" w:rsidRDefault="00C431D4" w:rsidP="008A29ED">
      <w:pPr>
        <w:pStyle w:val="ListParagraph"/>
        <w:numPr>
          <w:ilvl w:val="0"/>
          <w:numId w:val="10"/>
        </w:numPr>
      </w:pPr>
      <w:r w:rsidRPr="00984578">
        <w:t>J was fantastic, flexible, thorough and lovely</w:t>
      </w:r>
    </w:p>
    <w:p w:rsidR="00C431D4" w:rsidRPr="00984578" w:rsidRDefault="00C431D4" w:rsidP="008A29ED"/>
    <w:p w:rsidR="00C431D4" w:rsidRDefault="008E24F5" w:rsidP="008A29ED">
      <w:r>
        <w:t>Clumber C</w:t>
      </w:r>
      <w:r w:rsidR="00C431D4" w:rsidRPr="00984578">
        <w:t xml:space="preserve">are </w:t>
      </w:r>
    </w:p>
    <w:p w:rsidR="001A697B" w:rsidRPr="00984578" w:rsidRDefault="001A697B" w:rsidP="008A29ED"/>
    <w:p w:rsidR="00C431D4" w:rsidRPr="00984578" w:rsidRDefault="00C431D4" w:rsidP="008A29ED">
      <w:pPr>
        <w:pStyle w:val="ListParagraph"/>
        <w:numPr>
          <w:ilvl w:val="0"/>
          <w:numId w:val="7"/>
        </w:numPr>
      </w:pPr>
      <w:r w:rsidRPr="00984578">
        <w:t>Since I arrived here I feel safe and happy and I wouldn’t change a thing and I’m thankful for staying here.</w:t>
      </w:r>
    </w:p>
    <w:p w:rsidR="00C431D4" w:rsidRPr="00984578" w:rsidRDefault="00C431D4" w:rsidP="008A29ED">
      <w:pPr>
        <w:pStyle w:val="ListParagraph"/>
        <w:numPr>
          <w:ilvl w:val="0"/>
          <w:numId w:val="7"/>
        </w:numPr>
      </w:pPr>
      <w:r w:rsidRPr="00984578">
        <w:t>I felt my key worker really supported me at Clumber.</w:t>
      </w:r>
    </w:p>
    <w:p w:rsidR="00C431D4" w:rsidRDefault="00C431D4" w:rsidP="008A29ED">
      <w:pPr>
        <w:pStyle w:val="ListParagraph"/>
        <w:numPr>
          <w:ilvl w:val="0"/>
          <w:numId w:val="7"/>
        </w:numPr>
      </w:pPr>
      <w:r w:rsidRPr="00984578">
        <w:t>I like it in Brewery Lane.</w:t>
      </w:r>
    </w:p>
    <w:p w:rsidR="001A697B" w:rsidRPr="00984578" w:rsidRDefault="001A697B" w:rsidP="008A29ED">
      <w:pPr>
        <w:pStyle w:val="ListParagraph"/>
      </w:pPr>
    </w:p>
    <w:p w:rsidR="001A697B" w:rsidRDefault="008E24F5" w:rsidP="008A29ED">
      <w:r>
        <w:t>Garden Pro</w:t>
      </w:r>
      <w:r w:rsidR="001A697B" w:rsidRPr="00984578">
        <w:t xml:space="preserve">ject </w:t>
      </w:r>
    </w:p>
    <w:p w:rsidR="001A697B" w:rsidRPr="00984578" w:rsidRDefault="001A697B" w:rsidP="008A29ED"/>
    <w:p w:rsidR="001A697B" w:rsidRPr="00984578" w:rsidRDefault="001A697B" w:rsidP="008A29ED">
      <w:pPr>
        <w:pStyle w:val="ListParagraph"/>
        <w:numPr>
          <w:ilvl w:val="0"/>
          <w:numId w:val="9"/>
        </w:numPr>
      </w:pPr>
      <w:r w:rsidRPr="00984578">
        <w:t>The Garden Company is really good for me and I love attending</w:t>
      </w:r>
    </w:p>
    <w:p w:rsidR="001A697B" w:rsidRPr="00984578" w:rsidRDefault="001A697B" w:rsidP="008A29ED">
      <w:pPr>
        <w:pStyle w:val="ListParagraph"/>
        <w:numPr>
          <w:ilvl w:val="0"/>
          <w:numId w:val="9"/>
        </w:numPr>
      </w:pPr>
      <w:r w:rsidRPr="00984578">
        <w:t>My son enjoys every day he goes to the Nugent Care Garden Project. He would be lost without it.</w:t>
      </w:r>
    </w:p>
    <w:p w:rsidR="009E2853" w:rsidRPr="00984578" w:rsidRDefault="009E2853" w:rsidP="008A29ED"/>
    <w:p w:rsidR="001A697B" w:rsidRDefault="001A697B" w:rsidP="008A29ED"/>
    <w:p w:rsidR="001A697B" w:rsidRDefault="001A697B" w:rsidP="008A29ED"/>
    <w:p w:rsidR="001A697B" w:rsidRDefault="001A697B" w:rsidP="008A29ED"/>
    <w:p w:rsidR="001A697B" w:rsidRDefault="001A697B" w:rsidP="008A29ED"/>
    <w:p w:rsidR="009029FD" w:rsidRPr="00984578" w:rsidRDefault="007D010E" w:rsidP="008A29ED">
      <w:r w:rsidRPr="00984578">
        <w:t xml:space="preserve">James Nugent Court </w:t>
      </w:r>
    </w:p>
    <w:p w:rsidR="007D010E" w:rsidRPr="00984578" w:rsidRDefault="007D010E" w:rsidP="008A29ED"/>
    <w:p w:rsidR="007D010E" w:rsidRPr="00984578" w:rsidRDefault="007D010E" w:rsidP="008A29ED">
      <w:pPr>
        <w:pStyle w:val="ListParagraph"/>
        <w:numPr>
          <w:ilvl w:val="0"/>
          <w:numId w:val="6"/>
        </w:numPr>
      </w:pPr>
      <w:r w:rsidRPr="00984578">
        <w:t>Very good home to be in. Very happy.</w:t>
      </w:r>
    </w:p>
    <w:p w:rsidR="007D010E" w:rsidRPr="00984578" w:rsidRDefault="007D010E" w:rsidP="008A29ED">
      <w:pPr>
        <w:pStyle w:val="ListParagraph"/>
        <w:numPr>
          <w:ilvl w:val="0"/>
          <w:numId w:val="6"/>
        </w:numPr>
      </w:pPr>
      <w:r w:rsidRPr="00984578">
        <w:t xml:space="preserve">The staff are very professional and caring! Very high standards of cleanliness, food etc. Would do and have recommended JNC to other people. Accounts </w:t>
      </w:r>
      <w:proofErr w:type="spellStart"/>
      <w:r w:rsidRPr="00984578">
        <w:t>dept</w:t>
      </w:r>
      <w:proofErr w:type="spellEnd"/>
      <w:r w:rsidRPr="00984578">
        <w:t xml:space="preserve"> was chaotic when </w:t>
      </w:r>
      <w:proofErr w:type="spellStart"/>
      <w:r w:rsidRPr="00984578">
        <w:t>Mr</w:t>
      </w:r>
      <w:proofErr w:type="spellEnd"/>
      <w:r w:rsidRPr="00984578">
        <w:t xml:space="preserve"> W was admitted and for many weeks later!</w:t>
      </w:r>
    </w:p>
    <w:p w:rsidR="007D010E" w:rsidRPr="00984578" w:rsidRDefault="007D010E" w:rsidP="008A29ED">
      <w:pPr>
        <w:pStyle w:val="ListParagraph"/>
        <w:numPr>
          <w:ilvl w:val="0"/>
          <w:numId w:val="6"/>
        </w:numPr>
      </w:pPr>
      <w:r w:rsidRPr="00984578">
        <w:t>All staff have always met our needs when visiting or calling the home.</w:t>
      </w:r>
    </w:p>
    <w:p w:rsidR="007D010E" w:rsidRPr="00984578" w:rsidRDefault="007D010E" w:rsidP="008A29ED">
      <w:pPr>
        <w:pStyle w:val="ListParagraph"/>
        <w:numPr>
          <w:ilvl w:val="0"/>
          <w:numId w:val="6"/>
        </w:numPr>
      </w:pPr>
      <w:r w:rsidRPr="00984578">
        <w:t xml:space="preserve">We were always happy with the care and support both </w:t>
      </w:r>
      <w:proofErr w:type="gramStart"/>
      <w:r w:rsidRPr="00984578">
        <w:t>he and ourselves</w:t>
      </w:r>
      <w:proofErr w:type="gramEnd"/>
      <w:r w:rsidRPr="00984578">
        <w:t xml:space="preserve"> received.</w:t>
      </w:r>
    </w:p>
    <w:p w:rsidR="007D010E" w:rsidRPr="00984578" w:rsidRDefault="00C431D4" w:rsidP="008A29ED">
      <w:r w:rsidRPr="00984578">
        <w:tab/>
      </w:r>
    </w:p>
    <w:p w:rsidR="007D010E" w:rsidRPr="00984578" w:rsidRDefault="007D010E" w:rsidP="008A29ED">
      <w:proofErr w:type="spellStart"/>
      <w:proofErr w:type="gramStart"/>
      <w:r w:rsidRPr="00984578">
        <w:t>St.Catherine’s</w:t>
      </w:r>
      <w:proofErr w:type="spellEnd"/>
      <w:proofErr w:type="gramEnd"/>
      <w:r w:rsidRPr="00984578">
        <w:t xml:space="preserve"> </w:t>
      </w:r>
    </w:p>
    <w:p w:rsidR="007D010E" w:rsidRPr="00984578" w:rsidRDefault="007D010E" w:rsidP="008A29ED">
      <w:r w:rsidRPr="00984578">
        <w:t xml:space="preserve"> </w:t>
      </w:r>
    </w:p>
    <w:p w:rsidR="007D010E" w:rsidRPr="00984578" w:rsidRDefault="007D010E" w:rsidP="008A29ED">
      <w:pPr>
        <w:pStyle w:val="ListParagraph"/>
        <w:numPr>
          <w:ilvl w:val="0"/>
          <w:numId w:val="8"/>
        </w:numPr>
      </w:pPr>
      <w:r w:rsidRPr="00984578">
        <w:t>I like my TV and food and my new room and I like the gym</w:t>
      </w:r>
    </w:p>
    <w:p w:rsidR="007D010E" w:rsidRPr="00984578" w:rsidRDefault="007D010E" w:rsidP="008A29ED"/>
    <w:p w:rsidR="007D010E" w:rsidRDefault="007D010E" w:rsidP="008A29ED">
      <w:proofErr w:type="spellStart"/>
      <w:proofErr w:type="gramStart"/>
      <w:r w:rsidRPr="00984578">
        <w:t>St.Joseph’s</w:t>
      </w:r>
      <w:proofErr w:type="spellEnd"/>
      <w:proofErr w:type="gramEnd"/>
      <w:r w:rsidRPr="00984578">
        <w:t xml:space="preserve"> </w:t>
      </w:r>
    </w:p>
    <w:p w:rsidR="001A697B" w:rsidRPr="00984578" w:rsidRDefault="001A697B" w:rsidP="008A29ED"/>
    <w:p w:rsidR="007D010E" w:rsidRPr="00984578" w:rsidRDefault="007D010E" w:rsidP="008A29ED">
      <w:pPr>
        <w:pStyle w:val="ListParagraph"/>
        <w:numPr>
          <w:ilvl w:val="0"/>
          <w:numId w:val="8"/>
        </w:numPr>
      </w:pPr>
      <w:r w:rsidRPr="00984578">
        <w:t>St Joseph’s is a caring and welcoming residential home. I am glad my relative is in a place this is supportive and safe.</w:t>
      </w:r>
    </w:p>
    <w:p w:rsidR="007D010E" w:rsidRPr="00984578" w:rsidRDefault="007D010E" w:rsidP="008A29ED">
      <w:pPr>
        <w:pStyle w:val="ListParagraph"/>
        <w:numPr>
          <w:ilvl w:val="0"/>
          <w:numId w:val="8"/>
        </w:numPr>
      </w:pPr>
      <w:r w:rsidRPr="00984578">
        <w:t>I have always found the staff to be professional. C is always clean and very happy. The staff have a good rapport with C.</w:t>
      </w:r>
    </w:p>
    <w:p w:rsidR="007D010E" w:rsidRPr="00984578" w:rsidRDefault="007D010E" w:rsidP="008A29ED">
      <w:pPr>
        <w:pStyle w:val="ListParagraph"/>
        <w:numPr>
          <w:ilvl w:val="0"/>
          <w:numId w:val="8"/>
        </w:numPr>
      </w:pPr>
      <w:r w:rsidRPr="00984578">
        <w:t>Just want to say that I find all the staff are real easy to talk about all issues concerning</w:t>
      </w:r>
      <w:r w:rsidR="008E24F5">
        <w:t xml:space="preserve"> my granddaughter C. Also S</w:t>
      </w:r>
      <w:r w:rsidRPr="00984578">
        <w:t xml:space="preserve"> the manager is always happy to sit and talk to me if I have any concerns for C. Most helpful indeed. Can’t praise them enough.</w:t>
      </w:r>
    </w:p>
    <w:p w:rsidR="00C431D4" w:rsidRPr="00984578" w:rsidRDefault="00C431D4" w:rsidP="008A29ED"/>
    <w:p w:rsidR="009029FD" w:rsidRPr="00984578" w:rsidRDefault="009029FD" w:rsidP="008A29ED">
      <w:r w:rsidRPr="00984578">
        <w:t>Nugent House School</w:t>
      </w:r>
    </w:p>
    <w:p w:rsidR="003A4A99" w:rsidRPr="00984578" w:rsidRDefault="003A4A99" w:rsidP="008A29ED"/>
    <w:p w:rsidR="003A4A99" w:rsidRPr="00984578" w:rsidRDefault="003A4A99" w:rsidP="008A29ED">
      <w:pPr>
        <w:pStyle w:val="ListParagraph"/>
        <w:numPr>
          <w:ilvl w:val="0"/>
          <w:numId w:val="5"/>
        </w:numPr>
        <w:rPr>
          <w:sz w:val="24"/>
          <w:szCs w:val="24"/>
          <w:lang w:val="en-GB"/>
        </w:rPr>
      </w:pPr>
      <w:r w:rsidRPr="00984578">
        <w:rPr>
          <w:lang w:val="en-GB"/>
        </w:rPr>
        <w:t xml:space="preserve">“To whom this may concern, This is not a complaint, this is a gratifying compliment, I used to be a pupil in one of your schools, Nugent House, </w:t>
      </w:r>
      <w:r w:rsidRPr="00984578">
        <w:rPr>
          <w:lang w:val="en-GB"/>
        </w:rPr>
        <w:lastRenderedPageBreak/>
        <w:t>after short contemplation I have concluded that I would never be anything like the man I am today without Nugent, I was so worried about leaving and when the time came and I left for college I still had all the support from school and care staff alike. I have heard that it has vastly changed in some good ways and bad however I would still like to compliment and thank you as a care charity and give my 100% gratitude to Nugent. This may seem pointless although I just feel it necessary to say; you are changing so many lives for the better. Thank you so much, anonymous email.”</w:t>
      </w:r>
    </w:p>
    <w:p w:rsidR="00C431D4" w:rsidRPr="00984578" w:rsidRDefault="00C431D4" w:rsidP="008A29ED">
      <w:pPr>
        <w:rPr>
          <w:lang w:val="en-GB"/>
        </w:rPr>
      </w:pPr>
    </w:p>
    <w:p w:rsidR="00C431D4" w:rsidRPr="00984578" w:rsidRDefault="00C431D4" w:rsidP="008A29ED">
      <w:pPr>
        <w:rPr>
          <w:lang w:val="en-GB"/>
        </w:rPr>
      </w:pPr>
      <w:r w:rsidRPr="00984578">
        <w:rPr>
          <w:lang w:val="en-GB"/>
        </w:rPr>
        <w:t>Volunteering</w:t>
      </w:r>
    </w:p>
    <w:p w:rsidR="00C431D4" w:rsidRPr="00984578" w:rsidRDefault="00C431D4" w:rsidP="008A29ED">
      <w:pPr>
        <w:pStyle w:val="ListParagraph"/>
        <w:numPr>
          <w:ilvl w:val="0"/>
          <w:numId w:val="5"/>
        </w:numPr>
        <w:rPr>
          <w:lang w:val="en-GB"/>
        </w:rPr>
      </w:pPr>
      <w:r w:rsidRPr="00984578">
        <w:rPr>
          <w:lang w:val="en-GB"/>
        </w:rPr>
        <w:t>I am always mad</w:t>
      </w:r>
      <w:r w:rsidR="008E24F5">
        <w:rPr>
          <w:lang w:val="en-GB"/>
        </w:rPr>
        <w:t>e to feel most welcome by S</w:t>
      </w:r>
      <w:r w:rsidRPr="00984578">
        <w:rPr>
          <w:lang w:val="en-GB"/>
        </w:rPr>
        <w:t xml:space="preserve"> and her staff.</w:t>
      </w:r>
    </w:p>
    <w:p w:rsidR="00C431D4" w:rsidRPr="00984578" w:rsidRDefault="00C431D4" w:rsidP="008A29ED">
      <w:pPr>
        <w:pStyle w:val="ListParagraph"/>
        <w:numPr>
          <w:ilvl w:val="0"/>
          <w:numId w:val="5"/>
        </w:numPr>
        <w:rPr>
          <w:lang w:val="en-GB"/>
        </w:rPr>
      </w:pPr>
      <w:r w:rsidRPr="00984578">
        <w:rPr>
          <w:lang w:val="en-GB"/>
        </w:rPr>
        <w:t>I have become more confident.</w:t>
      </w:r>
    </w:p>
    <w:p w:rsidR="003A4A99" w:rsidRDefault="003A4A99"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Default="001A697B" w:rsidP="008A29ED"/>
    <w:p w:rsidR="001A697B" w:rsidRPr="00984578" w:rsidRDefault="001A697B" w:rsidP="008A29ED"/>
    <w:p w:rsidR="009C566D" w:rsidRPr="00984578" w:rsidRDefault="009C566D" w:rsidP="008A29ED">
      <w:pPr>
        <w:pStyle w:val="Heading1"/>
      </w:pPr>
      <w:bookmarkStart w:id="20" w:name="_Toc481480483"/>
      <w:r w:rsidRPr="00984578">
        <w:t>Appendix</w:t>
      </w:r>
      <w:bookmarkEnd w:id="20"/>
      <w:r w:rsidRPr="00984578">
        <w:t xml:space="preserve"> </w:t>
      </w:r>
    </w:p>
    <w:p w:rsidR="00045C68" w:rsidRPr="00984578" w:rsidRDefault="00045C68" w:rsidP="008A29ED"/>
    <w:p w:rsidR="00045C68" w:rsidRPr="00984578" w:rsidRDefault="00045C68" w:rsidP="008A29ED">
      <w:pPr>
        <w:pStyle w:val="Heading2"/>
      </w:pPr>
      <w:bookmarkStart w:id="21" w:name="_Toc481480484"/>
      <w:r w:rsidRPr="00984578">
        <w:t>Appendix 1</w:t>
      </w:r>
      <w:bookmarkEnd w:id="21"/>
      <w:r w:rsidRPr="00984578">
        <w:t xml:space="preserve"> </w:t>
      </w:r>
    </w:p>
    <w:p w:rsidR="00045C68" w:rsidRPr="00984578" w:rsidRDefault="00045C68" w:rsidP="008A29ED"/>
    <w:tbl>
      <w:tblPr>
        <w:tblStyle w:val="GridTable1Light-Accent1"/>
        <w:tblW w:w="0" w:type="auto"/>
        <w:tblLook w:val="04A0" w:firstRow="1" w:lastRow="0" w:firstColumn="1" w:lastColumn="0" w:noHBand="0" w:noVBand="1"/>
      </w:tblPr>
      <w:tblGrid>
        <w:gridCol w:w="2767"/>
        <w:gridCol w:w="1383"/>
        <w:gridCol w:w="1384"/>
        <w:gridCol w:w="1691"/>
      </w:tblGrid>
      <w:tr w:rsidR="0028397F" w:rsidRPr="00984578" w:rsidTr="00283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7" w:type="dxa"/>
          </w:tcPr>
          <w:p w:rsidR="0028397F" w:rsidRPr="00984578" w:rsidRDefault="0028397F" w:rsidP="008A29ED">
            <w:r w:rsidRPr="00984578">
              <w:t xml:space="preserve">Service Name </w:t>
            </w:r>
          </w:p>
        </w:tc>
        <w:tc>
          <w:tcPr>
            <w:tcW w:w="1383" w:type="dxa"/>
          </w:tcPr>
          <w:p w:rsidR="0028397F" w:rsidRPr="00984578" w:rsidRDefault="0028397F" w:rsidP="008A29ED">
            <w:pPr>
              <w:cnfStyle w:val="100000000000" w:firstRow="1" w:lastRow="0" w:firstColumn="0" w:lastColumn="0" w:oddVBand="0" w:evenVBand="0" w:oddHBand="0" w:evenHBand="0" w:firstRowFirstColumn="0" w:firstRowLastColumn="0" w:lastRowFirstColumn="0" w:lastRowLastColumn="0"/>
            </w:pPr>
            <w:r w:rsidRPr="00984578">
              <w:t>2015/16</w:t>
            </w:r>
          </w:p>
        </w:tc>
        <w:tc>
          <w:tcPr>
            <w:tcW w:w="1384" w:type="dxa"/>
          </w:tcPr>
          <w:p w:rsidR="0028397F" w:rsidRPr="00984578" w:rsidRDefault="0028397F" w:rsidP="008A29ED">
            <w:pPr>
              <w:cnfStyle w:val="100000000000" w:firstRow="1" w:lastRow="0" w:firstColumn="0" w:lastColumn="0" w:oddVBand="0" w:evenVBand="0" w:oddHBand="0" w:evenHBand="0" w:firstRowFirstColumn="0" w:firstRowLastColumn="0" w:lastRowFirstColumn="0" w:lastRowLastColumn="0"/>
            </w:pPr>
            <w:r w:rsidRPr="00984578">
              <w:t>2016/17</w:t>
            </w:r>
          </w:p>
        </w:tc>
        <w:tc>
          <w:tcPr>
            <w:tcW w:w="1691" w:type="dxa"/>
          </w:tcPr>
          <w:p w:rsidR="0028397F" w:rsidRPr="00984578" w:rsidRDefault="0028397F" w:rsidP="008A29ED">
            <w:pPr>
              <w:cnfStyle w:val="100000000000" w:firstRow="1" w:lastRow="0" w:firstColumn="0" w:lastColumn="0" w:oddVBand="0" w:evenVBand="0" w:oddHBand="0" w:evenHBand="0" w:firstRowFirstColumn="0" w:firstRowLastColumn="0" w:lastRowFirstColumn="0" w:lastRowLastColumn="0"/>
            </w:pPr>
            <w:r w:rsidRPr="00984578">
              <w:t xml:space="preserve">% Increase/ decrease </w:t>
            </w: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 xml:space="preserve">Adoption </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w:t>
            </w: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2</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100</w:t>
            </w: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Clumber</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3</w:t>
            </w: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8</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166</w:t>
            </w: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Fundraising</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w:t>
            </w: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proofErr w:type="spellStart"/>
            <w:r w:rsidRPr="00984578">
              <w:t>Geel</w:t>
            </w:r>
            <w:proofErr w:type="spellEnd"/>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6</w:t>
            </w: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-83.3</w:t>
            </w: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Head Office</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HSU</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3</w:t>
            </w: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James Nugent Court</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7</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MRH</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 xml:space="preserve">New Beginnings </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 xml:space="preserve">Nugent Community Choices </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2</w:t>
            </w: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 xml:space="preserve">Nugent House </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8</w:t>
            </w: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11</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37.5</w:t>
            </w: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 xml:space="preserve">Public </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r>
      <w:tr w:rsidR="0028397F" w:rsidRPr="00984578" w:rsidTr="0028397F">
        <w:trPr>
          <w:trHeight w:val="255"/>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r w:rsidRPr="00984578">
              <w:t>School Social Work</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1</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p>
        </w:tc>
      </w:tr>
      <w:tr w:rsidR="0028397F" w:rsidRPr="00984578" w:rsidTr="0028397F">
        <w:trPr>
          <w:trHeight w:val="270"/>
        </w:trPr>
        <w:tc>
          <w:tcPr>
            <w:cnfStyle w:val="001000000000" w:firstRow="0" w:lastRow="0" w:firstColumn="1" w:lastColumn="0" w:oddVBand="0" w:evenVBand="0" w:oddHBand="0" w:evenHBand="0" w:firstRowFirstColumn="0" w:firstRowLastColumn="0" w:lastRowFirstColumn="0" w:lastRowLastColumn="0"/>
            <w:tcW w:w="2767" w:type="dxa"/>
            <w:noWrap/>
            <w:hideMark/>
          </w:tcPr>
          <w:p w:rsidR="0028397F" w:rsidRPr="00984578" w:rsidRDefault="0028397F" w:rsidP="008A29ED">
            <w:proofErr w:type="spellStart"/>
            <w:r w:rsidRPr="00984578">
              <w:t>St.Catherine’s</w:t>
            </w:r>
            <w:proofErr w:type="spellEnd"/>
            <w:r w:rsidRPr="00984578">
              <w:t xml:space="preserve"> </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56</w:t>
            </w: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40</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-28.5</w:t>
            </w:r>
          </w:p>
        </w:tc>
      </w:tr>
      <w:tr w:rsidR="0028397F" w:rsidRPr="00984578" w:rsidTr="0028397F">
        <w:tc>
          <w:tcPr>
            <w:cnfStyle w:val="001000000000" w:firstRow="0" w:lastRow="0" w:firstColumn="1" w:lastColumn="0" w:oddVBand="0" w:evenVBand="0" w:oddHBand="0" w:evenHBand="0" w:firstRowFirstColumn="0" w:firstRowLastColumn="0" w:lastRowFirstColumn="0" w:lastRowLastColumn="0"/>
            <w:tcW w:w="2767" w:type="dxa"/>
          </w:tcPr>
          <w:p w:rsidR="0028397F" w:rsidRPr="00984578" w:rsidRDefault="0028397F" w:rsidP="008A29ED">
            <w:r w:rsidRPr="00984578">
              <w:lastRenderedPageBreak/>
              <w:t xml:space="preserve">Total </w:t>
            </w:r>
          </w:p>
        </w:tc>
        <w:tc>
          <w:tcPr>
            <w:tcW w:w="1383"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80</w:t>
            </w:r>
          </w:p>
        </w:tc>
        <w:tc>
          <w:tcPr>
            <w:tcW w:w="1384"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74</w:t>
            </w:r>
          </w:p>
        </w:tc>
        <w:tc>
          <w:tcPr>
            <w:tcW w:w="1691" w:type="dxa"/>
          </w:tcPr>
          <w:p w:rsidR="0028397F" w:rsidRPr="00984578" w:rsidRDefault="0028397F" w:rsidP="008A29ED">
            <w:pPr>
              <w:cnfStyle w:val="000000000000" w:firstRow="0" w:lastRow="0" w:firstColumn="0" w:lastColumn="0" w:oddVBand="0" w:evenVBand="0" w:oddHBand="0" w:evenHBand="0" w:firstRowFirstColumn="0" w:firstRowLastColumn="0" w:lastRowFirstColumn="0" w:lastRowLastColumn="0"/>
            </w:pPr>
            <w:r w:rsidRPr="00984578">
              <w:t>-7.5</w:t>
            </w:r>
          </w:p>
        </w:tc>
      </w:tr>
    </w:tbl>
    <w:p w:rsidR="009C566D" w:rsidRPr="00984578" w:rsidRDefault="009C566D" w:rsidP="008A29ED"/>
    <w:sectPr w:rsidR="009C566D" w:rsidRPr="00984578" w:rsidSect="001E3A41">
      <w:headerReference w:type="default" r:id="rId16"/>
      <w:footerReference w:type="default" r:id="rId17"/>
      <w:pgSz w:w="11906" w:h="16838" w:code="9"/>
      <w:pgMar w:top="-1134" w:right="1797" w:bottom="1135" w:left="1797" w:header="624" w:footer="4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B4B" w:rsidRDefault="00AF2B4B" w:rsidP="008A29ED">
      <w:r>
        <w:separator/>
      </w:r>
    </w:p>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000000" w:rsidRDefault="006538C2" w:rsidP="008A29ED"/>
    <w:p w:rsidR="00000000" w:rsidRDefault="006538C2" w:rsidP="008A29ED"/>
    <w:p w:rsidR="00000000" w:rsidRDefault="006538C2" w:rsidP="008A29ED"/>
    <w:p w:rsidR="00000000" w:rsidRDefault="006538C2" w:rsidP="008A29ED"/>
    <w:p w:rsidR="00000000" w:rsidRDefault="006538C2" w:rsidP="008A29ED"/>
  </w:endnote>
  <w:endnote w:type="continuationSeparator" w:id="0">
    <w:p w:rsidR="00AF2B4B" w:rsidRDefault="00AF2B4B" w:rsidP="008A29ED">
      <w:r>
        <w:continuationSeparator/>
      </w:r>
    </w:p>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000000" w:rsidRDefault="006538C2" w:rsidP="008A29ED"/>
    <w:p w:rsidR="00000000" w:rsidRDefault="006538C2" w:rsidP="008A29ED"/>
    <w:p w:rsidR="00000000" w:rsidRDefault="006538C2" w:rsidP="008A29ED"/>
    <w:p w:rsidR="00000000" w:rsidRDefault="006538C2" w:rsidP="008A29ED"/>
    <w:p w:rsidR="00000000" w:rsidRDefault="006538C2" w:rsidP="008A2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19421"/>
      <w:docPartObj>
        <w:docPartGallery w:val="Page Numbers (Bottom of Page)"/>
        <w:docPartUnique/>
      </w:docPartObj>
    </w:sdtPr>
    <w:sdtEndPr>
      <w:rPr>
        <w:noProof/>
      </w:rPr>
    </w:sdtEndPr>
    <w:sdtContent>
      <w:p w:rsidR="00AF2B4B" w:rsidRDefault="00AF2B4B" w:rsidP="008A29ED">
        <w:pPr>
          <w:pStyle w:val="Footer"/>
        </w:pPr>
        <w:r>
          <w:rPr>
            <w:noProof/>
            <w:lang w:val="en-GB" w:eastAsia="en-GB"/>
          </w:rPr>
          <mc:AlternateContent>
            <mc:Choice Requires="wps">
              <w:drawing>
                <wp:inline distT="0" distB="0" distL="0" distR="0" wp14:anchorId="6AAF7138" wp14:editId="679764E2">
                  <wp:extent cx="5467350" cy="54610"/>
                  <wp:effectExtent l="9525" t="19050" r="9525" b="12065"/>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93F412F"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" fillcolor="black">
                  <w10:anchorlock/>
                </v:shape>
              </w:pict>
            </mc:Fallback>
          </mc:AlternateContent>
        </w:r>
      </w:p>
      <w:p w:rsidR="00AF2B4B" w:rsidRDefault="00AF2B4B" w:rsidP="008A29ED">
        <w:pPr>
          <w:pStyle w:val="Footer"/>
        </w:pPr>
        <w:r>
          <w:fldChar w:fldCharType="begin"/>
        </w:r>
        <w:r>
          <w:instrText xml:space="preserve"> PAGE    \* MERGEFORMAT </w:instrText>
        </w:r>
        <w:r>
          <w:fldChar w:fldCharType="separate"/>
        </w:r>
        <w:r w:rsidR="006538C2">
          <w:rPr>
            <w:noProof/>
          </w:rPr>
          <w:t>3</w:t>
        </w:r>
        <w:r>
          <w:rPr>
            <w:noProof/>
          </w:rPr>
          <w:fldChar w:fldCharType="end"/>
        </w:r>
      </w:p>
    </w:sdtContent>
  </w:sdt>
  <w:p w:rsidR="00AF2B4B" w:rsidRPr="00CD4568" w:rsidRDefault="00AF2B4B" w:rsidP="008A29ED">
    <w:pPr>
      <w:pStyle w:val="Footer"/>
    </w:pPr>
  </w:p>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000000" w:rsidRDefault="006538C2" w:rsidP="008A29ED"/>
  <w:p w:rsidR="00000000" w:rsidRDefault="006538C2" w:rsidP="008A29ED"/>
  <w:p w:rsidR="00000000" w:rsidRDefault="006538C2" w:rsidP="008A29ED"/>
  <w:p w:rsidR="00000000" w:rsidRDefault="006538C2" w:rsidP="008A29ED"/>
  <w:p w:rsidR="00000000" w:rsidRDefault="006538C2" w:rsidP="008A29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B4B" w:rsidRDefault="00AF2B4B" w:rsidP="008A29ED">
      <w:r>
        <w:separator/>
      </w:r>
    </w:p>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000000" w:rsidRDefault="006538C2" w:rsidP="008A29ED"/>
    <w:p w:rsidR="00000000" w:rsidRDefault="006538C2" w:rsidP="008A29ED"/>
    <w:p w:rsidR="00000000" w:rsidRDefault="006538C2" w:rsidP="008A29ED"/>
    <w:p w:rsidR="00000000" w:rsidRDefault="006538C2" w:rsidP="008A29ED"/>
    <w:p w:rsidR="00000000" w:rsidRDefault="006538C2" w:rsidP="008A29ED"/>
  </w:footnote>
  <w:footnote w:type="continuationSeparator" w:id="0">
    <w:p w:rsidR="00AF2B4B" w:rsidRDefault="00AF2B4B" w:rsidP="008A29ED">
      <w:r>
        <w:continuationSeparator/>
      </w:r>
    </w:p>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000000" w:rsidRDefault="006538C2" w:rsidP="008A29ED"/>
    <w:p w:rsidR="00000000" w:rsidRDefault="006538C2" w:rsidP="008A29ED"/>
    <w:p w:rsidR="00000000" w:rsidRDefault="006538C2" w:rsidP="008A29ED"/>
    <w:p w:rsidR="00000000" w:rsidRDefault="006538C2" w:rsidP="008A29ED"/>
    <w:p w:rsidR="00000000" w:rsidRDefault="006538C2" w:rsidP="008A29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4B" w:rsidRDefault="00AF2B4B" w:rsidP="008A29ED">
    <w:pPr>
      <w:pStyle w:val="Header"/>
      <w:rPr>
        <w:rFonts w:ascii="Cambria" w:hAnsi="Cambria" w:cs="Times New Roman"/>
        <w:sz w:val="32"/>
        <w:szCs w:val="32"/>
      </w:rPr>
    </w:pPr>
    <w:r>
      <w:tab/>
    </w:r>
    <w:r>
      <w:tab/>
    </w:r>
    <w:r w:rsidRPr="002B30A5">
      <w:t>Complaints annual report 20</w:t>
    </w:r>
    <w:r>
      <w:t>16/17</w:t>
    </w:r>
  </w:p>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AF2B4B" w:rsidRDefault="00AF2B4B" w:rsidP="008A29ED"/>
  <w:p w:rsidR="00000000" w:rsidRDefault="006538C2" w:rsidP="008A29ED"/>
  <w:p w:rsidR="00000000" w:rsidRDefault="006538C2" w:rsidP="008A29ED"/>
  <w:p w:rsidR="00000000" w:rsidRDefault="006538C2" w:rsidP="008A29ED"/>
  <w:p w:rsidR="00000000" w:rsidRDefault="006538C2" w:rsidP="008A29ED"/>
  <w:p w:rsidR="00000000" w:rsidRDefault="006538C2" w:rsidP="008A29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559A"/>
    <w:multiLevelType w:val="hybridMultilevel"/>
    <w:tmpl w:val="832E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B1FB3"/>
    <w:multiLevelType w:val="hybridMultilevel"/>
    <w:tmpl w:val="870E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C6F45"/>
    <w:multiLevelType w:val="hybridMultilevel"/>
    <w:tmpl w:val="B11A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744D2F"/>
    <w:multiLevelType w:val="hybridMultilevel"/>
    <w:tmpl w:val="AE98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BF7F54"/>
    <w:multiLevelType w:val="hybridMultilevel"/>
    <w:tmpl w:val="35B6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BD11B4"/>
    <w:multiLevelType w:val="hybridMultilevel"/>
    <w:tmpl w:val="9780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BB1447"/>
    <w:multiLevelType w:val="hybridMultilevel"/>
    <w:tmpl w:val="1B08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B6318B"/>
    <w:multiLevelType w:val="hybridMultilevel"/>
    <w:tmpl w:val="C940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9296D"/>
    <w:multiLevelType w:val="hybridMultilevel"/>
    <w:tmpl w:val="C754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A43C3A"/>
    <w:multiLevelType w:val="hybridMultilevel"/>
    <w:tmpl w:val="8AB0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1"/>
  </w:num>
  <w:num w:numId="6">
    <w:abstractNumId w:val="7"/>
  </w:num>
  <w:num w:numId="7">
    <w:abstractNumId w:val="0"/>
  </w:num>
  <w:num w:numId="8">
    <w:abstractNumId w:val="2"/>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5F"/>
    <w:rsid w:val="00002B22"/>
    <w:rsid w:val="00004481"/>
    <w:rsid w:val="0000754F"/>
    <w:rsid w:val="00010CE6"/>
    <w:rsid w:val="0001342B"/>
    <w:rsid w:val="00017A5D"/>
    <w:rsid w:val="00020A76"/>
    <w:rsid w:val="0002279D"/>
    <w:rsid w:val="000331CB"/>
    <w:rsid w:val="0003434E"/>
    <w:rsid w:val="00036F8D"/>
    <w:rsid w:val="0004425E"/>
    <w:rsid w:val="0004586B"/>
    <w:rsid w:val="00045B3F"/>
    <w:rsid w:val="00045C68"/>
    <w:rsid w:val="000461EB"/>
    <w:rsid w:val="000520A1"/>
    <w:rsid w:val="00060090"/>
    <w:rsid w:val="00064D02"/>
    <w:rsid w:val="00064E45"/>
    <w:rsid w:val="00065392"/>
    <w:rsid w:val="000710F9"/>
    <w:rsid w:val="00073FAB"/>
    <w:rsid w:val="00080CDE"/>
    <w:rsid w:val="00084B44"/>
    <w:rsid w:val="00090662"/>
    <w:rsid w:val="00092094"/>
    <w:rsid w:val="00093E12"/>
    <w:rsid w:val="000A3C88"/>
    <w:rsid w:val="000B161D"/>
    <w:rsid w:val="000B1A3B"/>
    <w:rsid w:val="000B53CE"/>
    <w:rsid w:val="000B571B"/>
    <w:rsid w:val="000B611C"/>
    <w:rsid w:val="000B6A24"/>
    <w:rsid w:val="000D11A5"/>
    <w:rsid w:val="000D7CCC"/>
    <w:rsid w:val="000D7E9F"/>
    <w:rsid w:val="000E3892"/>
    <w:rsid w:val="000E3C5A"/>
    <w:rsid w:val="000E591E"/>
    <w:rsid w:val="000F2136"/>
    <w:rsid w:val="000F4565"/>
    <w:rsid w:val="000F57CE"/>
    <w:rsid w:val="000F5C03"/>
    <w:rsid w:val="00106D17"/>
    <w:rsid w:val="0010728B"/>
    <w:rsid w:val="00107942"/>
    <w:rsid w:val="00113F55"/>
    <w:rsid w:val="001169C5"/>
    <w:rsid w:val="00120E27"/>
    <w:rsid w:val="00122DD3"/>
    <w:rsid w:val="00131770"/>
    <w:rsid w:val="00134517"/>
    <w:rsid w:val="0013592D"/>
    <w:rsid w:val="001371D2"/>
    <w:rsid w:val="00145A62"/>
    <w:rsid w:val="00146AD2"/>
    <w:rsid w:val="00160968"/>
    <w:rsid w:val="00164E4E"/>
    <w:rsid w:val="00172429"/>
    <w:rsid w:val="00172F4F"/>
    <w:rsid w:val="00174A2D"/>
    <w:rsid w:val="001803BC"/>
    <w:rsid w:val="00180C1E"/>
    <w:rsid w:val="00183018"/>
    <w:rsid w:val="0019342E"/>
    <w:rsid w:val="001941FA"/>
    <w:rsid w:val="00197A58"/>
    <w:rsid w:val="001A13AD"/>
    <w:rsid w:val="001A4539"/>
    <w:rsid w:val="001A697B"/>
    <w:rsid w:val="001A755E"/>
    <w:rsid w:val="001A7A93"/>
    <w:rsid w:val="001B29DE"/>
    <w:rsid w:val="001B2B4A"/>
    <w:rsid w:val="001C2CE3"/>
    <w:rsid w:val="001C47BA"/>
    <w:rsid w:val="001D2E2E"/>
    <w:rsid w:val="001D3B8F"/>
    <w:rsid w:val="001D6347"/>
    <w:rsid w:val="001D69A1"/>
    <w:rsid w:val="001E3A41"/>
    <w:rsid w:val="001E5FFE"/>
    <w:rsid w:val="001F660F"/>
    <w:rsid w:val="001F6C11"/>
    <w:rsid w:val="001F7E20"/>
    <w:rsid w:val="0020194F"/>
    <w:rsid w:val="002063AF"/>
    <w:rsid w:val="0020771E"/>
    <w:rsid w:val="002222E5"/>
    <w:rsid w:val="00225EE2"/>
    <w:rsid w:val="00226571"/>
    <w:rsid w:val="00232011"/>
    <w:rsid w:val="002349B2"/>
    <w:rsid w:val="00237A7E"/>
    <w:rsid w:val="002405CF"/>
    <w:rsid w:val="0024414A"/>
    <w:rsid w:val="00256362"/>
    <w:rsid w:val="00257B8B"/>
    <w:rsid w:val="00261E74"/>
    <w:rsid w:val="00266AF1"/>
    <w:rsid w:val="0027620D"/>
    <w:rsid w:val="0028015A"/>
    <w:rsid w:val="0028397F"/>
    <w:rsid w:val="002842E5"/>
    <w:rsid w:val="00293D68"/>
    <w:rsid w:val="002979C6"/>
    <w:rsid w:val="002A1F54"/>
    <w:rsid w:val="002A3451"/>
    <w:rsid w:val="002A40F8"/>
    <w:rsid w:val="002A46B5"/>
    <w:rsid w:val="002A645B"/>
    <w:rsid w:val="002A741E"/>
    <w:rsid w:val="002B2321"/>
    <w:rsid w:val="002B30A5"/>
    <w:rsid w:val="002C22E3"/>
    <w:rsid w:val="002C23F0"/>
    <w:rsid w:val="002C6A60"/>
    <w:rsid w:val="0030000E"/>
    <w:rsid w:val="00303C9D"/>
    <w:rsid w:val="00310234"/>
    <w:rsid w:val="00312813"/>
    <w:rsid w:val="00312869"/>
    <w:rsid w:val="00314328"/>
    <w:rsid w:val="003145FE"/>
    <w:rsid w:val="0031792A"/>
    <w:rsid w:val="003231DC"/>
    <w:rsid w:val="003301B7"/>
    <w:rsid w:val="00330EC4"/>
    <w:rsid w:val="00332F0C"/>
    <w:rsid w:val="00341513"/>
    <w:rsid w:val="00341627"/>
    <w:rsid w:val="00342403"/>
    <w:rsid w:val="00342611"/>
    <w:rsid w:val="00342889"/>
    <w:rsid w:val="003472A0"/>
    <w:rsid w:val="0034758D"/>
    <w:rsid w:val="00355D39"/>
    <w:rsid w:val="00355E8C"/>
    <w:rsid w:val="00361838"/>
    <w:rsid w:val="0036702F"/>
    <w:rsid w:val="00372515"/>
    <w:rsid w:val="00376636"/>
    <w:rsid w:val="00382C3C"/>
    <w:rsid w:val="00383BCF"/>
    <w:rsid w:val="00384816"/>
    <w:rsid w:val="00387A09"/>
    <w:rsid w:val="00391134"/>
    <w:rsid w:val="00392EC9"/>
    <w:rsid w:val="003944DB"/>
    <w:rsid w:val="00396E38"/>
    <w:rsid w:val="003A16BB"/>
    <w:rsid w:val="003A4A99"/>
    <w:rsid w:val="003B06BB"/>
    <w:rsid w:val="003B5D5B"/>
    <w:rsid w:val="003C14B5"/>
    <w:rsid w:val="003C6C5F"/>
    <w:rsid w:val="003D2499"/>
    <w:rsid w:val="003D2539"/>
    <w:rsid w:val="003D371C"/>
    <w:rsid w:val="003F2D55"/>
    <w:rsid w:val="003F592C"/>
    <w:rsid w:val="00401ACB"/>
    <w:rsid w:val="00401DA4"/>
    <w:rsid w:val="00413BCF"/>
    <w:rsid w:val="00413E37"/>
    <w:rsid w:val="00414FEC"/>
    <w:rsid w:val="00415613"/>
    <w:rsid w:val="00427564"/>
    <w:rsid w:val="00436848"/>
    <w:rsid w:val="004409B5"/>
    <w:rsid w:val="00444CE8"/>
    <w:rsid w:val="00445C54"/>
    <w:rsid w:val="0044658C"/>
    <w:rsid w:val="0044747B"/>
    <w:rsid w:val="00460E46"/>
    <w:rsid w:val="004676E7"/>
    <w:rsid w:val="00471B9A"/>
    <w:rsid w:val="00472F10"/>
    <w:rsid w:val="00480AF9"/>
    <w:rsid w:val="0048462C"/>
    <w:rsid w:val="00493E91"/>
    <w:rsid w:val="004956AA"/>
    <w:rsid w:val="00496A7D"/>
    <w:rsid w:val="004A0327"/>
    <w:rsid w:val="004A341E"/>
    <w:rsid w:val="004B64AF"/>
    <w:rsid w:val="004B70DD"/>
    <w:rsid w:val="004D28A6"/>
    <w:rsid w:val="004D7965"/>
    <w:rsid w:val="004E4D54"/>
    <w:rsid w:val="004E7356"/>
    <w:rsid w:val="004F5205"/>
    <w:rsid w:val="004F6034"/>
    <w:rsid w:val="0050672F"/>
    <w:rsid w:val="00506F08"/>
    <w:rsid w:val="00507A65"/>
    <w:rsid w:val="00507D20"/>
    <w:rsid w:val="005107D1"/>
    <w:rsid w:val="00513A5E"/>
    <w:rsid w:val="00513B4E"/>
    <w:rsid w:val="00517649"/>
    <w:rsid w:val="00526528"/>
    <w:rsid w:val="00532713"/>
    <w:rsid w:val="005349D5"/>
    <w:rsid w:val="00540100"/>
    <w:rsid w:val="0054681A"/>
    <w:rsid w:val="00566328"/>
    <w:rsid w:val="00566482"/>
    <w:rsid w:val="005703C0"/>
    <w:rsid w:val="00570644"/>
    <w:rsid w:val="00571623"/>
    <w:rsid w:val="00573B29"/>
    <w:rsid w:val="00584EA0"/>
    <w:rsid w:val="00587C5C"/>
    <w:rsid w:val="005920AF"/>
    <w:rsid w:val="005959F2"/>
    <w:rsid w:val="005A0EA4"/>
    <w:rsid w:val="005A4768"/>
    <w:rsid w:val="005A5EDD"/>
    <w:rsid w:val="005B1FB9"/>
    <w:rsid w:val="005B6A75"/>
    <w:rsid w:val="005B6E2E"/>
    <w:rsid w:val="005C03EF"/>
    <w:rsid w:val="005C0E19"/>
    <w:rsid w:val="005C239D"/>
    <w:rsid w:val="005D7F60"/>
    <w:rsid w:val="005E0F43"/>
    <w:rsid w:val="005F017E"/>
    <w:rsid w:val="005F4EF7"/>
    <w:rsid w:val="006029E5"/>
    <w:rsid w:val="006059B3"/>
    <w:rsid w:val="0061596D"/>
    <w:rsid w:val="00622934"/>
    <w:rsid w:val="00630B1A"/>
    <w:rsid w:val="00631854"/>
    <w:rsid w:val="0063289A"/>
    <w:rsid w:val="00636B36"/>
    <w:rsid w:val="00640C11"/>
    <w:rsid w:val="00643CCD"/>
    <w:rsid w:val="006463FD"/>
    <w:rsid w:val="006473AF"/>
    <w:rsid w:val="00647938"/>
    <w:rsid w:val="00650B17"/>
    <w:rsid w:val="00651834"/>
    <w:rsid w:val="00651886"/>
    <w:rsid w:val="006538C2"/>
    <w:rsid w:val="006602B0"/>
    <w:rsid w:val="00664796"/>
    <w:rsid w:val="00664B0E"/>
    <w:rsid w:val="00670421"/>
    <w:rsid w:val="00671C99"/>
    <w:rsid w:val="0068381A"/>
    <w:rsid w:val="006862E4"/>
    <w:rsid w:val="00694304"/>
    <w:rsid w:val="00694B5C"/>
    <w:rsid w:val="006A00EF"/>
    <w:rsid w:val="006A1D37"/>
    <w:rsid w:val="006A47A5"/>
    <w:rsid w:val="006A5399"/>
    <w:rsid w:val="006B120C"/>
    <w:rsid w:val="006B279F"/>
    <w:rsid w:val="006B560F"/>
    <w:rsid w:val="006C1475"/>
    <w:rsid w:val="006C2244"/>
    <w:rsid w:val="006D0483"/>
    <w:rsid w:val="006D5157"/>
    <w:rsid w:val="006D7F98"/>
    <w:rsid w:val="006E1D5A"/>
    <w:rsid w:val="006E6385"/>
    <w:rsid w:val="006F3F06"/>
    <w:rsid w:val="006F54A7"/>
    <w:rsid w:val="006F6CEC"/>
    <w:rsid w:val="00705E9A"/>
    <w:rsid w:val="007072E8"/>
    <w:rsid w:val="00713877"/>
    <w:rsid w:val="00715757"/>
    <w:rsid w:val="00720354"/>
    <w:rsid w:val="007252C7"/>
    <w:rsid w:val="00725BB8"/>
    <w:rsid w:val="007366D8"/>
    <w:rsid w:val="0073723B"/>
    <w:rsid w:val="00747F87"/>
    <w:rsid w:val="00751885"/>
    <w:rsid w:val="0075389E"/>
    <w:rsid w:val="00753B20"/>
    <w:rsid w:val="00761AC2"/>
    <w:rsid w:val="00767A89"/>
    <w:rsid w:val="007733E4"/>
    <w:rsid w:val="00774B21"/>
    <w:rsid w:val="00777A99"/>
    <w:rsid w:val="00792C3E"/>
    <w:rsid w:val="00795ED4"/>
    <w:rsid w:val="00796582"/>
    <w:rsid w:val="00796EF2"/>
    <w:rsid w:val="007A234C"/>
    <w:rsid w:val="007A369B"/>
    <w:rsid w:val="007A42FA"/>
    <w:rsid w:val="007A6B43"/>
    <w:rsid w:val="007D010E"/>
    <w:rsid w:val="007D3941"/>
    <w:rsid w:val="007D53AA"/>
    <w:rsid w:val="007D7829"/>
    <w:rsid w:val="007E4D8A"/>
    <w:rsid w:val="007F0D97"/>
    <w:rsid w:val="007F582D"/>
    <w:rsid w:val="007F7610"/>
    <w:rsid w:val="00802969"/>
    <w:rsid w:val="00804238"/>
    <w:rsid w:val="00805B1C"/>
    <w:rsid w:val="008108C6"/>
    <w:rsid w:val="00812205"/>
    <w:rsid w:val="008143BE"/>
    <w:rsid w:val="00814510"/>
    <w:rsid w:val="00815DC8"/>
    <w:rsid w:val="00836F4E"/>
    <w:rsid w:val="00846142"/>
    <w:rsid w:val="00846A61"/>
    <w:rsid w:val="00850D26"/>
    <w:rsid w:val="00856D65"/>
    <w:rsid w:val="0085714B"/>
    <w:rsid w:val="00860449"/>
    <w:rsid w:val="00863DA8"/>
    <w:rsid w:val="00867A5B"/>
    <w:rsid w:val="008709A9"/>
    <w:rsid w:val="00871EF7"/>
    <w:rsid w:val="00872A4D"/>
    <w:rsid w:val="00877684"/>
    <w:rsid w:val="008815AF"/>
    <w:rsid w:val="00896484"/>
    <w:rsid w:val="008A29ED"/>
    <w:rsid w:val="008A303B"/>
    <w:rsid w:val="008A6137"/>
    <w:rsid w:val="008A769A"/>
    <w:rsid w:val="008A79B6"/>
    <w:rsid w:val="008A7A1E"/>
    <w:rsid w:val="008A7CEA"/>
    <w:rsid w:val="008B7AD5"/>
    <w:rsid w:val="008C0271"/>
    <w:rsid w:val="008C0D43"/>
    <w:rsid w:val="008C30C3"/>
    <w:rsid w:val="008C798E"/>
    <w:rsid w:val="008D3C13"/>
    <w:rsid w:val="008E24F5"/>
    <w:rsid w:val="008E7CD4"/>
    <w:rsid w:val="008F0E1D"/>
    <w:rsid w:val="008F5CF0"/>
    <w:rsid w:val="009028A9"/>
    <w:rsid w:val="009029FD"/>
    <w:rsid w:val="0090611C"/>
    <w:rsid w:val="00913328"/>
    <w:rsid w:val="0091349D"/>
    <w:rsid w:val="009253DA"/>
    <w:rsid w:val="0092610D"/>
    <w:rsid w:val="00934B66"/>
    <w:rsid w:val="0093721B"/>
    <w:rsid w:val="00944D8D"/>
    <w:rsid w:val="009465B3"/>
    <w:rsid w:val="00947A41"/>
    <w:rsid w:val="00954CD6"/>
    <w:rsid w:val="00955659"/>
    <w:rsid w:val="00957374"/>
    <w:rsid w:val="009613FA"/>
    <w:rsid w:val="009621E5"/>
    <w:rsid w:val="00965FC1"/>
    <w:rsid w:val="00974B4C"/>
    <w:rsid w:val="00980A0A"/>
    <w:rsid w:val="009820A9"/>
    <w:rsid w:val="00984578"/>
    <w:rsid w:val="009847D7"/>
    <w:rsid w:val="009925B6"/>
    <w:rsid w:val="00994A1D"/>
    <w:rsid w:val="009A18DE"/>
    <w:rsid w:val="009A1BBC"/>
    <w:rsid w:val="009A2BFA"/>
    <w:rsid w:val="009A7817"/>
    <w:rsid w:val="009B20E5"/>
    <w:rsid w:val="009B51A9"/>
    <w:rsid w:val="009B52E0"/>
    <w:rsid w:val="009B6B94"/>
    <w:rsid w:val="009C0C0D"/>
    <w:rsid w:val="009C33E5"/>
    <w:rsid w:val="009C566D"/>
    <w:rsid w:val="009C5D4D"/>
    <w:rsid w:val="009C7BE7"/>
    <w:rsid w:val="009D0624"/>
    <w:rsid w:val="009D1035"/>
    <w:rsid w:val="009D1163"/>
    <w:rsid w:val="009D1885"/>
    <w:rsid w:val="009E2853"/>
    <w:rsid w:val="009E2E08"/>
    <w:rsid w:val="009E5F46"/>
    <w:rsid w:val="009E714C"/>
    <w:rsid w:val="009F020B"/>
    <w:rsid w:val="00A00586"/>
    <w:rsid w:val="00A062F5"/>
    <w:rsid w:val="00A07037"/>
    <w:rsid w:val="00A12004"/>
    <w:rsid w:val="00A155F4"/>
    <w:rsid w:val="00A16FF8"/>
    <w:rsid w:val="00A20CC8"/>
    <w:rsid w:val="00A3598E"/>
    <w:rsid w:val="00A44CFC"/>
    <w:rsid w:val="00A4725C"/>
    <w:rsid w:val="00A47A27"/>
    <w:rsid w:val="00A515B6"/>
    <w:rsid w:val="00A531C6"/>
    <w:rsid w:val="00A53D65"/>
    <w:rsid w:val="00A545FD"/>
    <w:rsid w:val="00A54746"/>
    <w:rsid w:val="00A54BD8"/>
    <w:rsid w:val="00A56D28"/>
    <w:rsid w:val="00A6266F"/>
    <w:rsid w:val="00A6400D"/>
    <w:rsid w:val="00A720D5"/>
    <w:rsid w:val="00A86903"/>
    <w:rsid w:val="00A932BE"/>
    <w:rsid w:val="00AA10B6"/>
    <w:rsid w:val="00AA2893"/>
    <w:rsid w:val="00AA34CE"/>
    <w:rsid w:val="00AA625E"/>
    <w:rsid w:val="00AB20D0"/>
    <w:rsid w:val="00AB3631"/>
    <w:rsid w:val="00AB4955"/>
    <w:rsid w:val="00AB6178"/>
    <w:rsid w:val="00AB6536"/>
    <w:rsid w:val="00AC0284"/>
    <w:rsid w:val="00AC2C1B"/>
    <w:rsid w:val="00AC406E"/>
    <w:rsid w:val="00AC4970"/>
    <w:rsid w:val="00AC5641"/>
    <w:rsid w:val="00AD32B2"/>
    <w:rsid w:val="00AD7F78"/>
    <w:rsid w:val="00AE6AA4"/>
    <w:rsid w:val="00AF2B4B"/>
    <w:rsid w:val="00B04674"/>
    <w:rsid w:val="00B07269"/>
    <w:rsid w:val="00B204D1"/>
    <w:rsid w:val="00B22B87"/>
    <w:rsid w:val="00B23C56"/>
    <w:rsid w:val="00B25646"/>
    <w:rsid w:val="00B25BCC"/>
    <w:rsid w:val="00B31870"/>
    <w:rsid w:val="00B34E7B"/>
    <w:rsid w:val="00B401D0"/>
    <w:rsid w:val="00B425FF"/>
    <w:rsid w:val="00B676D7"/>
    <w:rsid w:val="00B676F1"/>
    <w:rsid w:val="00B7444A"/>
    <w:rsid w:val="00B7618A"/>
    <w:rsid w:val="00B80E90"/>
    <w:rsid w:val="00B857E0"/>
    <w:rsid w:val="00B86E55"/>
    <w:rsid w:val="00B91677"/>
    <w:rsid w:val="00B94C96"/>
    <w:rsid w:val="00BA03A8"/>
    <w:rsid w:val="00BA1556"/>
    <w:rsid w:val="00BA2B8C"/>
    <w:rsid w:val="00BB2FE7"/>
    <w:rsid w:val="00BB6575"/>
    <w:rsid w:val="00BC04B9"/>
    <w:rsid w:val="00BD2BB9"/>
    <w:rsid w:val="00BE1568"/>
    <w:rsid w:val="00BE1903"/>
    <w:rsid w:val="00BE50A6"/>
    <w:rsid w:val="00BE5B8D"/>
    <w:rsid w:val="00BF0F42"/>
    <w:rsid w:val="00BF1712"/>
    <w:rsid w:val="00BF2AFE"/>
    <w:rsid w:val="00BF5275"/>
    <w:rsid w:val="00C00524"/>
    <w:rsid w:val="00C014A8"/>
    <w:rsid w:val="00C10381"/>
    <w:rsid w:val="00C16CAA"/>
    <w:rsid w:val="00C251DE"/>
    <w:rsid w:val="00C27978"/>
    <w:rsid w:val="00C31FC0"/>
    <w:rsid w:val="00C42CEB"/>
    <w:rsid w:val="00C4316F"/>
    <w:rsid w:val="00C431D4"/>
    <w:rsid w:val="00C43689"/>
    <w:rsid w:val="00C44CDB"/>
    <w:rsid w:val="00C4586F"/>
    <w:rsid w:val="00C45D16"/>
    <w:rsid w:val="00C526E0"/>
    <w:rsid w:val="00C575AB"/>
    <w:rsid w:val="00C62568"/>
    <w:rsid w:val="00C651D9"/>
    <w:rsid w:val="00C76345"/>
    <w:rsid w:val="00C870A9"/>
    <w:rsid w:val="00C87DD4"/>
    <w:rsid w:val="00C910D7"/>
    <w:rsid w:val="00C914D6"/>
    <w:rsid w:val="00C95A3C"/>
    <w:rsid w:val="00C96BF0"/>
    <w:rsid w:val="00CA03C3"/>
    <w:rsid w:val="00CA150E"/>
    <w:rsid w:val="00CB1E65"/>
    <w:rsid w:val="00CB3D51"/>
    <w:rsid w:val="00CB4D43"/>
    <w:rsid w:val="00CB79B9"/>
    <w:rsid w:val="00CC178F"/>
    <w:rsid w:val="00CC4427"/>
    <w:rsid w:val="00CC4833"/>
    <w:rsid w:val="00CC4D8E"/>
    <w:rsid w:val="00CD4568"/>
    <w:rsid w:val="00CD771D"/>
    <w:rsid w:val="00CE6044"/>
    <w:rsid w:val="00CF7ADB"/>
    <w:rsid w:val="00D03EE9"/>
    <w:rsid w:val="00D107CC"/>
    <w:rsid w:val="00D10A48"/>
    <w:rsid w:val="00D1337A"/>
    <w:rsid w:val="00D13A8B"/>
    <w:rsid w:val="00D20BE7"/>
    <w:rsid w:val="00D21D43"/>
    <w:rsid w:val="00D266E8"/>
    <w:rsid w:val="00D27406"/>
    <w:rsid w:val="00D27F5C"/>
    <w:rsid w:val="00D3127E"/>
    <w:rsid w:val="00D46665"/>
    <w:rsid w:val="00D4756F"/>
    <w:rsid w:val="00D5390B"/>
    <w:rsid w:val="00D566AA"/>
    <w:rsid w:val="00D73066"/>
    <w:rsid w:val="00D75540"/>
    <w:rsid w:val="00D80919"/>
    <w:rsid w:val="00D86780"/>
    <w:rsid w:val="00D91A81"/>
    <w:rsid w:val="00D9233F"/>
    <w:rsid w:val="00D939FD"/>
    <w:rsid w:val="00D9493C"/>
    <w:rsid w:val="00DA2B2C"/>
    <w:rsid w:val="00DA6E93"/>
    <w:rsid w:val="00DA73F5"/>
    <w:rsid w:val="00DB1616"/>
    <w:rsid w:val="00DC262D"/>
    <w:rsid w:val="00DC32C7"/>
    <w:rsid w:val="00DC6468"/>
    <w:rsid w:val="00DD05A7"/>
    <w:rsid w:val="00DD2928"/>
    <w:rsid w:val="00DF58FA"/>
    <w:rsid w:val="00E02B97"/>
    <w:rsid w:val="00E173DC"/>
    <w:rsid w:val="00E21870"/>
    <w:rsid w:val="00E23116"/>
    <w:rsid w:val="00E2382E"/>
    <w:rsid w:val="00E30922"/>
    <w:rsid w:val="00E30E35"/>
    <w:rsid w:val="00E33A7C"/>
    <w:rsid w:val="00E41D32"/>
    <w:rsid w:val="00E468BD"/>
    <w:rsid w:val="00E55605"/>
    <w:rsid w:val="00E62DB6"/>
    <w:rsid w:val="00E81BF3"/>
    <w:rsid w:val="00E84F8E"/>
    <w:rsid w:val="00E94194"/>
    <w:rsid w:val="00E942B9"/>
    <w:rsid w:val="00E972A6"/>
    <w:rsid w:val="00EA5353"/>
    <w:rsid w:val="00EA5896"/>
    <w:rsid w:val="00EA7294"/>
    <w:rsid w:val="00EA773F"/>
    <w:rsid w:val="00EC0A9B"/>
    <w:rsid w:val="00EC5D3A"/>
    <w:rsid w:val="00EC6FFC"/>
    <w:rsid w:val="00ED1405"/>
    <w:rsid w:val="00ED4E17"/>
    <w:rsid w:val="00ED5411"/>
    <w:rsid w:val="00EE0D94"/>
    <w:rsid w:val="00EE1C4D"/>
    <w:rsid w:val="00EE2B83"/>
    <w:rsid w:val="00EE44D8"/>
    <w:rsid w:val="00EF1E2C"/>
    <w:rsid w:val="00EF3963"/>
    <w:rsid w:val="00EF4CC2"/>
    <w:rsid w:val="00F012C2"/>
    <w:rsid w:val="00F0271E"/>
    <w:rsid w:val="00F030B0"/>
    <w:rsid w:val="00F042E6"/>
    <w:rsid w:val="00F04C07"/>
    <w:rsid w:val="00F053A2"/>
    <w:rsid w:val="00F0610B"/>
    <w:rsid w:val="00F064F1"/>
    <w:rsid w:val="00F07B8A"/>
    <w:rsid w:val="00F13806"/>
    <w:rsid w:val="00F17F03"/>
    <w:rsid w:val="00F25674"/>
    <w:rsid w:val="00F2701A"/>
    <w:rsid w:val="00F30F15"/>
    <w:rsid w:val="00F3133D"/>
    <w:rsid w:val="00F32351"/>
    <w:rsid w:val="00F34A0F"/>
    <w:rsid w:val="00F356E3"/>
    <w:rsid w:val="00F41EB2"/>
    <w:rsid w:val="00F42E94"/>
    <w:rsid w:val="00F45DB1"/>
    <w:rsid w:val="00F56C9E"/>
    <w:rsid w:val="00F61AD1"/>
    <w:rsid w:val="00F672B6"/>
    <w:rsid w:val="00F71AC2"/>
    <w:rsid w:val="00F72C5E"/>
    <w:rsid w:val="00F765BE"/>
    <w:rsid w:val="00F81D60"/>
    <w:rsid w:val="00F83AA9"/>
    <w:rsid w:val="00F84688"/>
    <w:rsid w:val="00F84DDA"/>
    <w:rsid w:val="00F85CB6"/>
    <w:rsid w:val="00F866F3"/>
    <w:rsid w:val="00FA15D1"/>
    <w:rsid w:val="00FA38CA"/>
    <w:rsid w:val="00FB7432"/>
    <w:rsid w:val="00FC6435"/>
    <w:rsid w:val="00FC673A"/>
    <w:rsid w:val="00FC7758"/>
    <w:rsid w:val="00FE37D9"/>
    <w:rsid w:val="00FE3BB0"/>
    <w:rsid w:val="00FE4E7B"/>
    <w:rsid w:val="00FE59FB"/>
    <w:rsid w:val="00FF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2F65CDB-F92C-40B0-8CA2-F86F7E98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8A29ED"/>
    <w:pPr>
      <w:jc w:val="center"/>
    </w:pPr>
    <w:rPr>
      <w:rFonts w:ascii="Open Sans" w:hAnsi="Open Sans" w:cs="Open Sans"/>
      <w:sz w:val="22"/>
      <w:szCs w:val="22"/>
      <w:lang w:val="en-US" w:eastAsia="en-US"/>
    </w:rPr>
  </w:style>
  <w:style w:type="paragraph" w:styleId="Heading1">
    <w:name w:val="heading 1"/>
    <w:basedOn w:val="Normal"/>
    <w:next w:val="Normal"/>
    <w:qFormat/>
    <w:rsid w:val="005349D5"/>
    <w:pPr>
      <w:keepNext/>
      <w:spacing w:before="240" w:after="60"/>
      <w:outlineLvl w:val="0"/>
    </w:pPr>
    <w:rPr>
      <w:b/>
      <w:bCs/>
      <w:kern w:val="32"/>
      <w:sz w:val="32"/>
      <w:szCs w:val="32"/>
    </w:rPr>
  </w:style>
  <w:style w:type="paragraph" w:styleId="Heading2">
    <w:name w:val="heading 2"/>
    <w:basedOn w:val="Normal"/>
    <w:next w:val="Normal"/>
    <w:qFormat/>
    <w:rsid w:val="00045C68"/>
    <w:pPr>
      <w:keepNext/>
      <w:outlineLvl w:val="1"/>
    </w:pPr>
    <w:rPr>
      <w:b/>
      <w:sz w:val="24"/>
      <w:szCs w:val="28"/>
    </w:rPr>
  </w:style>
  <w:style w:type="paragraph" w:styleId="Heading3">
    <w:name w:val="heading 3"/>
    <w:basedOn w:val="Normal"/>
    <w:next w:val="Normal"/>
    <w:link w:val="Heading3Char"/>
    <w:qFormat/>
    <w:rsid w:val="000B161D"/>
    <w:pPr>
      <w:keepNext/>
      <w:outlineLvl w:val="2"/>
    </w:pPr>
    <w:rPr>
      <w:b/>
    </w:rPr>
  </w:style>
  <w:style w:type="paragraph" w:styleId="Heading4">
    <w:name w:val="heading 4"/>
    <w:basedOn w:val="Normal"/>
    <w:next w:val="Normal"/>
    <w:qFormat/>
    <w:rsid w:val="00F053A2"/>
    <w:pPr>
      <w:keepNext/>
      <w:spacing w:line="36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6C5F"/>
    <w:pPr>
      <w:tabs>
        <w:tab w:val="center" w:pos="4153"/>
        <w:tab w:val="right" w:pos="8306"/>
      </w:tabs>
    </w:pPr>
  </w:style>
  <w:style w:type="paragraph" w:styleId="Footer">
    <w:name w:val="footer"/>
    <w:basedOn w:val="Normal"/>
    <w:link w:val="FooterChar"/>
    <w:uiPriority w:val="99"/>
    <w:rsid w:val="003C6C5F"/>
    <w:pPr>
      <w:tabs>
        <w:tab w:val="center" w:pos="4153"/>
        <w:tab w:val="right" w:pos="8306"/>
      </w:tabs>
    </w:pPr>
  </w:style>
  <w:style w:type="paragraph" w:styleId="TOC1">
    <w:name w:val="toc 1"/>
    <w:basedOn w:val="Normal"/>
    <w:next w:val="Normal"/>
    <w:autoRedefine/>
    <w:uiPriority w:val="39"/>
    <w:rsid w:val="004F6034"/>
    <w:pPr>
      <w:tabs>
        <w:tab w:val="right" w:leader="dot" w:pos="8302"/>
      </w:tabs>
      <w:spacing w:line="480" w:lineRule="auto"/>
    </w:pPr>
  </w:style>
  <w:style w:type="character" w:styleId="Hyperlink">
    <w:name w:val="Hyperlink"/>
    <w:basedOn w:val="DefaultParagraphFont"/>
    <w:uiPriority w:val="99"/>
    <w:rsid w:val="005349D5"/>
    <w:rPr>
      <w:color w:val="0000FF"/>
      <w:u w:val="single"/>
    </w:rPr>
  </w:style>
  <w:style w:type="paragraph" w:styleId="TOC2">
    <w:name w:val="toc 2"/>
    <w:basedOn w:val="Normal"/>
    <w:next w:val="Normal"/>
    <w:autoRedefine/>
    <w:uiPriority w:val="39"/>
    <w:rsid w:val="000B161D"/>
    <w:pPr>
      <w:ind w:left="240"/>
    </w:pPr>
  </w:style>
  <w:style w:type="paragraph" w:styleId="TOC3">
    <w:name w:val="toc 3"/>
    <w:basedOn w:val="Normal"/>
    <w:next w:val="Normal"/>
    <w:autoRedefine/>
    <w:semiHidden/>
    <w:rsid w:val="000B161D"/>
    <w:pPr>
      <w:ind w:left="480"/>
    </w:pPr>
  </w:style>
  <w:style w:type="table" w:styleId="TableGrid">
    <w:name w:val="Table Grid"/>
    <w:basedOn w:val="TableNormal"/>
    <w:rsid w:val="00052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053A2"/>
  </w:style>
  <w:style w:type="character" w:customStyle="1" w:styleId="Heading3Char">
    <w:name w:val="Heading 3 Char"/>
    <w:basedOn w:val="DefaultParagraphFont"/>
    <w:link w:val="Heading3"/>
    <w:rsid w:val="00CC4833"/>
    <w:rPr>
      <w:rFonts w:ascii="Arial" w:hAnsi="Arial" w:cs="Arial"/>
      <w:b/>
      <w:sz w:val="24"/>
      <w:szCs w:val="24"/>
      <w:lang w:val="en-GB" w:eastAsia="en-US" w:bidi="ar-SA"/>
    </w:rPr>
  </w:style>
  <w:style w:type="character" w:customStyle="1" w:styleId="HeaderChar">
    <w:name w:val="Header Char"/>
    <w:basedOn w:val="DefaultParagraphFont"/>
    <w:link w:val="Header"/>
    <w:uiPriority w:val="99"/>
    <w:rsid w:val="00640C11"/>
    <w:rPr>
      <w:rFonts w:ascii="Arial" w:hAnsi="Arial" w:cs="Arial"/>
      <w:sz w:val="24"/>
      <w:szCs w:val="24"/>
      <w:lang w:val="en-GB" w:eastAsia="en-US" w:bidi="ar-SA"/>
    </w:rPr>
  </w:style>
  <w:style w:type="paragraph" w:customStyle="1" w:styleId="Style1">
    <w:name w:val="Style1"/>
    <w:basedOn w:val="BlockText"/>
    <w:link w:val="Style1Char"/>
    <w:autoRedefine/>
    <w:rsid w:val="00640C11"/>
  </w:style>
  <w:style w:type="character" w:customStyle="1" w:styleId="BlockTextChar">
    <w:name w:val="Block Text Char"/>
    <w:basedOn w:val="DefaultParagraphFont"/>
    <w:link w:val="BlockText"/>
    <w:rsid w:val="00640C11"/>
    <w:rPr>
      <w:rFonts w:ascii="Arial" w:hAnsi="Arial" w:cs="Arial"/>
      <w:sz w:val="24"/>
      <w:szCs w:val="24"/>
      <w:lang w:val="en-GB" w:eastAsia="en-US" w:bidi="ar-SA"/>
    </w:rPr>
  </w:style>
  <w:style w:type="paragraph" w:styleId="BlockText">
    <w:name w:val="Block Text"/>
    <w:basedOn w:val="Normal"/>
    <w:link w:val="BlockTextChar"/>
    <w:rsid w:val="00640C11"/>
    <w:pPr>
      <w:spacing w:after="120"/>
      <w:ind w:left="1440" w:right="1440"/>
    </w:pPr>
  </w:style>
  <w:style w:type="character" w:customStyle="1" w:styleId="Style1Char">
    <w:name w:val="Style1 Char"/>
    <w:basedOn w:val="BlockTextChar"/>
    <w:link w:val="Style1"/>
    <w:rsid w:val="00640C11"/>
    <w:rPr>
      <w:rFonts w:ascii="Arial" w:hAnsi="Arial" w:cs="Arial"/>
      <w:sz w:val="24"/>
      <w:szCs w:val="24"/>
      <w:lang w:val="en-GB" w:eastAsia="en-US" w:bidi="ar-SA"/>
    </w:rPr>
  </w:style>
  <w:style w:type="paragraph" w:styleId="BodyText3">
    <w:name w:val="Body Text 3"/>
    <w:basedOn w:val="Normal"/>
    <w:link w:val="BodyText3Char"/>
    <w:rsid w:val="00A56D28"/>
    <w:pPr>
      <w:spacing w:after="120"/>
    </w:pPr>
    <w:rPr>
      <w:sz w:val="16"/>
      <w:szCs w:val="16"/>
    </w:rPr>
  </w:style>
  <w:style w:type="character" w:customStyle="1" w:styleId="BodyText3Char">
    <w:name w:val="Body Text 3 Char"/>
    <w:basedOn w:val="DefaultParagraphFont"/>
    <w:link w:val="BodyText3"/>
    <w:rsid w:val="00A56D28"/>
    <w:rPr>
      <w:rFonts w:ascii="Arial" w:hAnsi="Arial" w:cs="Arial"/>
      <w:sz w:val="16"/>
      <w:szCs w:val="16"/>
      <w:lang w:eastAsia="en-US"/>
    </w:rPr>
  </w:style>
  <w:style w:type="paragraph" w:styleId="BodyTextIndent2">
    <w:name w:val="Body Text Indent 2"/>
    <w:basedOn w:val="Normal"/>
    <w:link w:val="BodyTextIndent2Char"/>
    <w:rsid w:val="00A53D65"/>
    <w:pPr>
      <w:spacing w:after="12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rsid w:val="00A53D65"/>
    <w:rPr>
      <w:sz w:val="24"/>
      <w:szCs w:val="24"/>
      <w:lang w:eastAsia="en-US"/>
    </w:rPr>
  </w:style>
  <w:style w:type="paragraph" w:styleId="BalloonText">
    <w:name w:val="Balloon Text"/>
    <w:basedOn w:val="Normal"/>
    <w:link w:val="BalloonTextChar"/>
    <w:rsid w:val="00F71AC2"/>
    <w:rPr>
      <w:rFonts w:ascii="Tahoma" w:hAnsi="Tahoma" w:cs="Tahoma"/>
      <w:sz w:val="16"/>
      <w:szCs w:val="16"/>
    </w:rPr>
  </w:style>
  <w:style w:type="character" w:customStyle="1" w:styleId="BalloonTextChar">
    <w:name w:val="Balloon Text Char"/>
    <w:basedOn w:val="DefaultParagraphFont"/>
    <w:link w:val="BalloonText"/>
    <w:rsid w:val="00F71AC2"/>
    <w:rPr>
      <w:rFonts w:ascii="Tahoma" w:hAnsi="Tahoma" w:cs="Tahoma"/>
      <w:sz w:val="16"/>
      <w:szCs w:val="16"/>
      <w:lang w:eastAsia="en-US"/>
    </w:rPr>
  </w:style>
  <w:style w:type="paragraph" w:styleId="NoSpacing">
    <w:name w:val="No Spacing"/>
    <w:link w:val="NoSpacingChar"/>
    <w:uiPriority w:val="1"/>
    <w:qFormat/>
    <w:rsid w:val="00F71AC2"/>
    <w:rPr>
      <w:rFonts w:ascii="Calibri" w:hAnsi="Calibri"/>
      <w:sz w:val="22"/>
      <w:szCs w:val="22"/>
      <w:lang w:val="en-US" w:eastAsia="en-US"/>
    </w:rPr>
  </w:style>
  <w:style w:type="character" w:customStyle="1" w:styleId="NoSpacingChar">
    <w:name w:val="No Spacing Char"/>
    <w:basedOn w:val="DefaultParagraphFont"/>
    <w:link w:val="NoSpacing"/>
    <w:uiPriority w:val="1"/>
    <w:rsid w:val="00F71AC2"/>
    <w:rPr>
      <w:rFonts w:ascii="Calibri" w:hAnsi="Calibri"/>
      <w:sz w:val="22"/>
      <w:szCs w:val="22"/>
      <w:lang w:val="en-US" w:eastAsia="en-US" w:bidi="ar-SA"/>
    </w:rPr>
  </w:style>
  <w:style w:type="paragraph" w:styleId="ListParagraph">
    <w:name w:val="List Paragraph"/>
    <w:basedOn w:val="Normal"/>
    <w:uiPriority w:val="34"/>
    <w:qFormat/>
    <w:rsid w:val="009613FA"/>
    <w:pPr>
      <w:ind w:left="720"/>
    </w:pPr>
  </w:style>
  <w:style w:type="character" w:customStyle="1" w:styleId="FooterChar">
    <w:name w:val="Footer Char"/>
    <w:basedOn w:val="DefaultParagraphFont"/>
    <w:link w:val="Footer"/>
    <w:uiPriority w:val="99"/>
    <w:rsid w:val="003B5D5B"/>
    <w:rPr>
      <w:rFonts w:ascii="Arial" w:hAnsi="Arial" w:cs="Arial"/>
      <w:sz w:val="24"/>
      <w:szCs w:val="24"/>
      <w:lang w:eastAsia="en-US"/>
    </w:rPr>
  </w:style>
  <w:style w:type="paragraph" w:styleId="BodyTextIndent3">
    <w:name w:val="Body Text Indent 3"/>
    <w:basedOn w:val="Normal"/>
    <w:link w:val="BodyTextIndent3Char"/>
    <w:rsid w:val="00F0610B"/>
    <w:pPr>
      <w:spacing w:after="120"/>
      <w:ind w:left="283"/>
    </w:pPr>
    <w:rPr>
      <w:sz w:val="16"/>
      <w:szCs w:val="16"/>
    </w:rPr>
  </w:style>
  <w:style w:type="character" w:customStyle="1" w:styleId="BodyTextIndent3Char">
    <w:name w:val="Body Text Indent 3 Char"/>
    <w:basedOn w:val="DefaultParagraphFont"/>
    <w:link w:val="BodyTextIndent3"/>
    <w:rsid w:val="00F0610B"/>
    <w:rPr>
      <w:rFonts w:ascii="Arial" w:hAnsi="Arial" w:cs="Arial"/>
      <w:sz w:val="16"/>
      <w:szCs w:val="16"/>
      <w:lang w:eastAsia="en-US"/>
    </w:rPr>
  </w:style>
  <w:style w:type="table" w:styleId="GridTable1Light-Accent1">
    <w:name w:val="Grid Table 1 Light Accent 1"/>
    <w:basedOn w:val="TableNormal"/>
    <w:uiPriority w:val="46"/>
    <w:rsid w:val="0028397F"/>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649">
      <w:bodyDiv w:val="1"/>
      <w:marLeft w:val="0"/>
      <w:marRight w:val="0"/>
      <w:marTop w:val="0"/>
      <w:marBottom w:val="0"/>
      <w:divBdr>
        <w:top w:val="none" w:sz="0" w:space="0" w:color="auto"/>
        <w:left w:val="none" w:sz="0" w:space="0" w:color="auto"/>
        <w:bottom w:val="none" w:sz="0" w:space="0" w:color="auto"/>
        <w:right w:val="none" w:sz="0" w:space="0" w:color="auto"/>
      </w:divBdr>
    </w:div>
    <w:div w:id="223024992">
      <w:bodyDiv w:val="1"/>
      <w:marLeft w:val="0"/>
      <w:marRight w:val="0"/>
      <w:marTop w:val="0"/>
      <w:marBottom w:val="0"/>
      <w:divBdr>
        <w:top w:val="none" w:sz="0" w:space="0" w:color="auto"/>
        <w:left w:val="none" w:sz="0" w:space="0" w:color="auto"/>
        <w:bottom w:val="none" w:sz="0" w:space="0" w:color="auto"/>
        <w:right w:val="none" w:sz="0" w:space="0" w:color="auto"/>
      </w:divBdr>
    </w:div>
    <w:div w:id="375860258">
      <w:bodyDiv w:val="1"/>
      <w:marLeft w:val="0"/>
      <w:marRight w:val="0"/>
      <w:marTop w:val="0"/>
      <w:marBottom w:val="0"/>
      <w:divBdr>
        <w:top w:val="none" w:sz="0" w:space="0" w:color="auto"/>
        <w:left w:val="none" w:sz="0" w:space="0" w:color="auto"/>
        <w:bottom w:val="none" w:sz="0" w:space="0" w:color="auto"/>
        <w:right w:val="none" w:sz="0" w:space="0" w:color="auto"/>
      </w:divBdr>
    </w:div>
    <w:div w:id="528300468">
      <w:bodyDiv w:val="1"/>
      <w:marLeft w:val="0"/>
      <w:marRight w:val="0"/>
      <w:marTop w:val="0"/>
      <w:marBottom w:val="0"/>
      <w:divBdr>
        <w:top w:val="none" w:sz="0" w:space="0" w:color="auto"/>
        <w:left w:val="none" w:sz="0" w:space="0" w:color="auto"/>
        <w:bottom w:val="none" w:sz="0" w:space="0" w:color="auto"/>
        <w:right w:val="none" w:sz="0" w:space="0" w:color="auto"/>
      </w:divBdr>
    </w:div>
    <w:div w:id="604653191">
      <w:bodyDiv w:val="1"/>
      <w:marLeft w:val="0"/>
      <w:marRight w:val="0"/>
      <w:marTop w:val="0"/>
      <w:marBottom w:val="0"/>
      <w:divBdr>
        <w:top w:val="none" w:sz="0" w:space="0" w:color="auto"/>
        <w:left w:val="none" w:sz="0" w:space="0" w:color="auto"/>
        <w:bottom w:val="none" w:sz="0" w:space="0" w:color="auto"/>
        <w:right w:val="none" w:sz="0" w:space="0" w:color="auto"/>
      </w:divBdr>
      <w:divsChild>
        <w:div w:id="283125323">
          <w:marLeft w:val="0"/>
          <w:marRight w:val="0"/>
          <w:marTop w:val="0"/>
          <w:marBottom w:val="0"/>
          <w:divBdr>
            <w:top w:val="none" w:sz="0" w:space="0" w:color="auto"/>
            <w:left w:val="none" w:sz="0" w:space="0" w:color="auto"/>
            <w:bottom w:val="none" w:sz="0" w:space="0" w:color="auto"/>
            <w:right w:val="none" w:sz="0" w:space="0" w:color="auto"/>
          </w:divBdr>
        </w:div>
      </w:divsChild>
    </w:div>
    <w:div w:id="639657329">
      <w:bodyDiv w:val="1"/>
      <w:marLeft w:val="0"/>
      <w:marRight w:val="0"/>
      <w:marTop w:val="0"/>
      <w:marBottom w:val="0"/>
      <w:divBdr>
        <w:top w:val="none" w:sz="0" w:space="0" w:color="auto"/>
        <w:left w:val="none" w:sz="0" w:space="0" w:color="auto"/>
        <w:bottom w:val="none" w:sz="0" w:space="0" w:color="auto"/>
        <w:right w:val="none" w:sz="0" w:space="0" w:color="auto"/>
      </w:divBdr>
    </w:div>
    <w:div w:id="664016195">
      <w:bodyDiv w:val="1"/>
      <w:marLeft w:val="0"/>
      <w:marRight w:val="0"/>
      <w:marTop w:val="0"/>
      <w:marBottom w:val="0"/>
      <w:divBdr>
        <w:top w:val="none" w:sz="0" w:space="0" w:color="auto"/>
        <w:left w:val="none" w:sz="0" w:space="0" w:color="auto"/>
        <w:bottom w:val="none" w:sz="0" w:space="0" w:color="auto"/>
        <w:right w:val="none" w:sz="0" w:space="0" w:color="auto"/>
      </w:divBdr>
    </w:div>
    <w:div w:id="883105899">
      <w:bodyDiv w:val="1"/>
      <w:marLeft w:val="0"/>
      <w:marRight w:val="0"/>
      <w:marTop w:val="0"/>
      <w:marBottom w:val="0"/>
      <w:divBdr>
        <w:top w:val="none" w:sz="0" w:space="0" w:color="auto"/>
        <w:left w:val="none" w:sz="0" w:space="0" w:color="auto"/>
        <w:bottom w:val="none" w:sz="0" w:space="0" w:color="auto"/>
        <w:right w:val="none" w:sz="0" w:space="0" w:color="auto"/>
      </w:divBdr>
    </w:div>
    <w:div w:id="911354181">
      <w:bodyDiv w:val="1"/>
      <w:marLeft w:val="0"/>
      <w:marRight w:val="0"/>
      <w:marTop w:val="0"/>
      <w:marBottom w:val="0"/>
      <w:divBdr>
        <w:top w:val="none" w:sz="0" w:space="0" w:color="auto"/>
        <w:left w:val="none" w:sz="0" w:space="0" w:color="auto"/>
        <w:bottom w:val="none" w:sz="0" w:space="0" w:color="auto"/>
        <w:right w:val="none" w:sz="0" w:space="0" w:color="auto"/>
      </w:divBdr>
    </w:div>
    <w:div w:id="1082413381">
      <w:bodyDiv w:val="1"/>
      <w:marLeft w:val="0"/>
      <w:marRight w:val="0"/>
      <w:marTop w:val="0"/>
      <w:marBottom w:val="0"/>
      <w:divBdr>
        <w:top w:val="none" w:sz="0" w:space="0" w:color="auto"/>
        <w:left w:val="none" w:sz="0" w:space="0" w:color="auto"/>
        <w:bottom w:val="none" w:sz="0" w:space="0" w:color="auto"/>
        <w:right w:val="none" w:sz="0" w:space="0" w:color="auto"/>
      </w:divBdr>
    </w:div>
    <w:div w:id="1295598535">
      <w:bodyDiv w:val="1"/>
      <w:marLeft w:val="0"/>
      <w:marRight w:val="0"/>
      <w:marTop w:val="0"/>
      <w:marBottom w:val="0"/>
      <w:divBdr>
        <w:top w:val="none" w:sz="0" w:space="0" w:color="auto"/>
        <w:left w:val="none" w:sz="0" w:space="0" w:color="auto"/>
        <w:bottom w:val="none" w:sz="0" w:space="0" w:color="auto"/>
        <w:right w:val="none" w:sz="0" w:space="0" w:color="auto"/>
      </w:divBdr>
    </w:div>
    <w:div w:id="1323584845">
      <w:bodyDiv w:val="1"/>
      <w:marLeft w:val="0"/>
      <w:marRight w:val="0"/>
      <w:marTop w:val="0"/>
      <w:marBottom w:val="0"/>
      <w:divBdr>
        <w:top w:val="none" w:sz="0" w:space="0" w:color="auto"/>
        <w:left w:val="none" w:sz="0" w:space="0" w:color="auto"/>
        <w:bottom w:val="none" w:sz="0" w:space="0" w:color="auto"/>
        <w:right w:val="none" w:sz="0" w:space="0" w:color="auto"/>
      </w:divBdr>
    </w:div>
    <w:div w:id="1323656882">
      <w:bodyDiv w:val="1"/>
      <w:marLeft w:val="0"/>
      <w:marRight w:val="0"/>
      <w:marTop w:val="0"/>
      <w:marBottom w:val="0"/>
      <w:divBdr>
        <w:top w:val="none" w:sz="0" w:space="0" w:color="auto"/>
        <w:left w:val="none" w:sz="0" w:space="0" w:color="auto"/>
        <w:bottom w:val="none" w:sz="0" w:space="0" w:color="auto"/>
        <w:right w:val="none" w:sz="0" w:space="0" w:color="auto"/>
      </w:divBdr>
    </w:div>
    <w:div w:id="1345324364">
      <w:bodyDiv w:val="1"/>
      <w:marLeft w:val="0"/>
      <w:marRight w:val="0"/>
      <w:marTop w:val="0"/>
      <w:marBottom w:val="0"/>
      <w:divBdr>
        <w:top w:val="none" w:sz="0" w:space="0" w:color="auto"/>
        <w:left w:val="none" w:sz="0" w:space="0" w:color="auto"/>
        <w:bottom w:val="none" w:sz="0" w:space="0" w:color="auto"/>
        <w:right w:val="none" w:sz="0" w:space="0" w:color="auto"/>
      </w:divBdr>
      <w:divsChild>
        <w:div w:id="1930040243">
          <w:marLeft w:val="0"/>
          <w:marRight w:val="0"/>
          <w:marTop w:val="0"/>
          <w:marBottom w:val="0"/>
          <w:divBdr>
            <w:top w:val="none" w:sz="0" w:space="0" w:color="auto"/>
            <w:left w:val="none" w:sz="0" w:space="0" w:color="auto"/>
            <w:bottom w:val="none" w:sz="0" w:space="0" w:color="auto"/>
            <w:right w:val="none" w:sz="0" w:space="0" w:color="auto"/>
          </w:divBdr>
        </w:div>
      </w:divsChild>
    </w:div>
    <w:div w:id="1526476977">
      <w:bodyDiv w:val="1"/>
      <w:marLeft w:val="0"/>
      <w:marRight w:val="0"/>
      <w:marTop w:val="0"/>
      <w:marBottom w:val="0"/>
      <w:divBdr>
        <w:top w:val="none" w:sz="0" w:space="0" w:color="auto"/>
        <w:left w:val="none" w:sz="0" w:space="0" w:color="auto"/>
        <w:bottom w:val="none" w:sz="0" w:space="0" w:color="auto"/>
        <w:right w:val="none" w:sz="0" w:space="0" w:color="auto"/>
      </w:divBdr>
    </w:div>
    <w:div w:id="1620641505">
      <w:bodyDiv w:val="1"/>
      <w:marLeft w:val="0"/>
      <w:marRight w:val="0"/>
      <w:marTop w:val="0"/>
      <w:marBottom w:val="0"/>
      <w:divBdr>
        <w:top w:val="none" w:sz="0" w:space="0" w:color="auto"/>
        <w:left w:val="none" w:sz="0" w:space="0" w:color="auto"/>
        <w:bottom w:val="none" w:sz="0" w:space="0" w:color="auto"/>
        <w:right w:val="none" w:sz="0" w:space="0" w:color="auto"/>
      </w:divBdr>
    </w:div>
    <w:div w:id="20338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Open Sans" panose="020B0606030504020204" pitchFamily="34" charset="0"/>
                <a:ea typeface="Open Sans" panose="020B0606030504020204" pitchFamily="34" charset="0"/>
                <a:cs typeface="Open Sans" panose="020B0606030504020204" pitchFamily="34" charset="0"/>
              </a:defRPr>
            </a:pPr>
            <a:r>
              <a:rPr lang="en-GB" sz="1400">
                <a:latin typeface="Open Sans" panose="020B0606030504020204" pitchFamily="34" charset="0"/>
                <a:ea typeface="Open Sans" panose="020B0606030504020204" pitchFamily="34" charset="0"/>
                <a:cs typeface="Open Sans" panose="020B0606030504020204" pitchFamily="34" charset="0"/>
              </a:rPr>
              <a:t>Comparison of complaints within services between 2015/16 and 2016/17</a:t>
            </a:r>
          </a:p>
          <a:p>
            <a:pPr>
              <a:defRPr>
                <a:latin typeface="Open Sans" panose="020B0606030504020204" pitchFamily="34" charset="0"/>
                <a:ea typeface="Open Sans" panose="020B0606030504020204" pitchFamily="34" charset="0"/>
                <a:cs typeface="Open Sans" panose="020B0606030504020204" pitchFamily="34" charset="0"/>
              </a:defRPr>
            </a:pPr>
            <a:r>
              <a:rPr lang="en-GB" sz="1400">
                <a:latin typeface="Open Sans" panose="020B0606030504020204" pitchFamily="34" charset="0"/>
                <a:ea typeface="Open Sans" panose="020B0606030504020204" pitchFamily="34" charset="0"/>
                <a:cs typeface="Open Sans" panose="020B0606030504020204" pitchFamily="34" charset="0"/>
              </a:rPr>
              <a:t>Total 2015/16 =</a:t>
            </a:r>
            <a:r>
              <a:rPr lang="en-GB" sz="1400" baseline="0">
                <a:latin typeface="Open Sans" panose="020B0606030504020204" pitchFamily="34" charset="0"/>
                <a:ea typeface="Open Sans" panose="020B0606030504020204" pitchFamily="34" charset="0"/>
                <a:cs typeface="Open Sans" panose="020B0606030504020204" pitchFamily="34" charset="0"/>
              </a:rPr>
              <a:t> 80</a:t>
            </a:r>
            <a:r>
              <a:rPr lang="en-GB" sz="1400">
                <a:latin typeface="Open Sans" panose="020B0606030504020204" pitchFamily="34" charset="0"/>
                <a:ea typeface="Open Sans" panose="020B0606030504020204" pitchFamily="34" charset="0"/>
                <a:cs typeface="Open Sans" panose="020B0606030504020204" pitchFamily="34" charset="0"/>
              </a:rPr>
              <a:t>    Total 2016/17=74</a:t>
            </a:r>
          </a:p>
        </c:rich>
      </c:tx>
      <c:layout/>
      <c:overlay val="0"/>
    </c:title>
    <c:autoTitleDeleted val="0"/>
    <c:plotArea>
      <c:layout/>
      <c:barChart>
        <c:barDir val="col"/>
        <c:grouping val="clustered"/>
        <c:varyColors val="0"/>
        <c:ser>
          <c:idx val="0"/>
          <c:order val="0"/>
          <c:tx>
            <c:strRef>
              <c:f>'Comparison by Service'!$J$1</c:f>
              <c:strCache>
                <c:ptCount val="1"/>
                <c:pt idx="0">
                  <c:v>2015/16</c:v>
                </c:pt>
              </c:strCache>
            </c:strRef>
          </c:tx>
          <c:invertIfNegative val="0"/>
          <c:cat>
            <c:strRef>
              <c:f>'Comparison by Service'!$A$2:$A$24</c:f>
              <c:strCache>
                <c:ptCount val="14"/>
                <c:pt idx="0">
                  <c:v>Adoption</c:v>
                </c:pt>
                <c:pt idx="1">
                  <c:v>Clumber</c:v>
                </c:pt>
                <c:pt idx="2">
                  <c:v>Fundraising</c:v>
                </c:pt>
                <c:pt idx="3">
                  <c:v>Geel</c:v>
                </c:pt>
                <c:pt idx="4">
                  <c:v>Head Office</c:v>
                </c:pt>
                <c:pt idx="5">
                  <c:v>HSU</c:v>
                </c:pt>
                <c:pt idx="6">
                  <c:v>James Nugent Court</c:v>
                </c:pt>
                <c:pt idx="7">
                  <c:v>MRH</c:v>
                </c:pt>
                <c:pt idx="8">
                  <c:v>New Beginnings </c:v>
                </c:pt>
                <c:pt idx="9">
                  <c:v>Nugent Community Choices</c:v>
                </c:pt>
                <c:pt idx="10">
                  <c:v>Nugent House</c:v>
                </c:pt>
                <c:pt idx="11">
                  <c:v>Public</c:v>
                </c:pt>
                <c:pt idx="12">
                  <c:v>School Social Work</c:v>
                </c:pt>
                <c:pt idx="13">
                  <c:v>St Catherine's</c:v>
                </c:pt>
              </c:strCache>
            </c:strRef>
          </c:cat>
          <c:val>
            <c:numRef>
              <c:f>'Comparison by Service'!$J$2:$J$24</c:f>
              <c:numCache>
                <c:formatCode>General</c:formatCode>
                <c:ptCount val="14"/>
                <c:pt idx="0">
                  <c:v>1</c:v>
                </c:pt>
                <c:pt idx="1">
                  <c:v>3</c:v>
                </c:pt>
                <c:pt idx="2">
                  <c:v>1</c:v>
                </c:pt>
                <c:pt idx="3">
                  <c:v>6</c:v>
                </c:pt>
                <c:pt idx="5">
                  <c:v>3</c:v>
                </c:pt>
                <c:pt idx="9">
                  <c:v>2</c:v>
                </c:pt>
                <c:pt idx="10">
                  <c:v>8</c:v>
                </c:pt>
                <c:pt idx="13">
                  <c:v>56</c:v>
                </c:pt>
              </c:numCache>
            </c:numRef>
          </c:val>
        </c:ser>
        <c:ser>
          <c:idx val="1"/>
          <c:order val="1"/>
          <c:tx>
            <c:strRef>
              <c:f>'Comparison by Service'!$K$1</c:f>
              <c:strCache>
                <c:ptCount val="1"/>
                <c:pt idx="0">
                  <c:v>2016/17</c:v>
                </c:pt>
              </c:strCache>
            </c:strRef>
          </c:tx>
          <c:invertIfNegative val="0"/>
          <c:cat>
            <c:strRef>
              <c:f>'Comparison by Service'!$A$2:$A$24</c:f>
              <c:strCache>
                <c:ptCount val="14"/>
                <c:pt idx="0">
                  <c:v>Adoption</c:v>
                </c:pt>
                <c:pt idx="1">
                  <c:v>Clumber</c:v>
                </c:pt>
                <c:pt idx="2">
                  <c:v>Fundraising</c:v>
                </c:pt>
                <c:pt idx="3">
                  <c:v>Geel</c:v>
                </c:pt>
                <c:pt idx="4">
                  <c:v>Head Office</c:v>
                </c:pt>
                <c:pt idx="5">
                  <c:v>HSU</c:v>
                </c:pt>
                <c:pt idx="6">
                  <c:v>James Nugent Court</c:v>
                </c:pt>
                <c:pt idx="7">
                  <c:v>MRH</c:v>
                </c:pt>
                <c:pt idx="8">
                  <c:v>New Beginnings </c:v>
                </c:pt>
                <c:pt idx="9">
                  <c:v>Nugent Community Choices</c:v>
                </c:pt>
                <c:pt idx="10">
                  <c:v>Nugent House</c:v>
                </c:pt>
                <c:pt idx="11">
                  <c:v>Public</c:v>
                </c:pt>
                <c:pt idx="12">
                  <c:v>School Social Work</c:v>
                </c:pt>
                <c:pt idx="13">
                  <c:v>St Catherine's</c:v>
                </c:pt>
              </c:strCache>
            </c:strRef>
          </c:cat>
          <c:val>
            <c:numRef>
              <c:f>'Comparison by Service'!$K$2:$K$24</c:f>
              <c:numCache>
                <c:formatCode>General</c:formatCode>
                <c:ptCount val="14"/>
                <c:pt idx="0">
                  <c:v>2</c:v>
                </c:pt>
                <c:pt idx="1">
                  <c:v>8</c:v>
                </c:pt>
                <c:pt idx="3">
                  <c:v>1</c:v>
                </c:pt>
                <c:pt idx="4">
                  <c:v>1</c:v>
                </c:pt>
                <c:pt idx="6">
                  <c:v>7</c:v>
                </c:pt>
                <c:pt idx="7">
                  <c:v>1</c:v>
                </c:pt>
                <c:pt idx="8">
                  <c:v>1</c:v>
                </c:pt>
                <c:pt idx="10">
                  <c:v>11</c:v>
                </c:pt>
                <c:pt idx="11">
                  <c:v>1</c:v>
                </c:pt>
                <c:pt idx="12">
                  <c:v>1</c:v>
                </c:pt>
                <c:pt idx="13">
                  <c:v>40</c:v>
                </c:pt>
              </c:numCache>
            </c:numRef>
          </c:val>
        </c:ser>
        <c:dLbls>
          <c:showLegendKey val="0"/>
          <c:showVal val="0"/>
          <c:showCatName val="0"/>
          <c:showSerName val="0"/>
          <c:showPercent val="0"/>
          <c:showBubbleSize val="0"/>
        </c:dLbls>
        <c:gapWidth val="150"/>
        <c:axId val="201398576"/>
        <c:axId val="201398968"/>
      </c:barChart>
      <c:catAx>
        <c:axId val="201398576"/>
        <c:scaling>
          <c:orientation val="minMax"/>
        </c:scaling>
        <c:delete val="0"/>
        <c:axPos val="b"/>
        <c:numFmt formatCode="General" sourceLinked="0"/>
        <c:majorTickMark val="out"/>
        <c:minorTickMark val="none"/>
        <c:tickLblPos val="nextTo"/>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crossAx val="201398968"/>
        <c:crosses val="autoZero"/>
        <c:auto val="1"/>
        <c:lblAlgn val="ctr"/>
        <c:lblOffset val="100"/>
        <c:noMultiLvlLbl val="0"/>
      </c:catAx>
      <c:valAx>
        <c:axId val="201398968"/>
        <c:scaling>
          <c:orientation val="minMax"/>
          <c:max val="50"/>
        </c:scaling>
        <c:delete val="0"/>
        <c:axPos val="l"/>
        <c:majorGridlines/>
        <c:numFmt formatCode="General" sourceLinked="1"/>
        <c:majorTickMark val="out"/>
        <c:minorTickMark val="none"/>
        <c:tickLblPos val="nextTo"/>
        <c:crossAx val="201398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Open Sans" panose="020B0606030504020204" pitchFamily="34" charset="0"/>
                <a:ea typeface="Open Sans" panose="020B0606030504020204" pitchFamily="34" charset="0"/>
                <a:cs typeface="Open Sans" panose="020B0606030504020204" pitchFamily="34" charset="0"/>
              </a:defRPr>
            </a:pPr>
            <a:r>
              <a:rPr lang="en-GB" sz="1400">
                <a:latin typeface="Open Sans" panose="020B0606030504020204" pitchFamily="34" charset="0"/>
                <a:ea typeface="Open Sans" panose="020B0606030504020204" pitchFamily="34" charset="0"/>
                <a:cs typeface="Open Sans" panose="020B0606030504020204" pitchFamily="34" charset="0"/>
              </a:rPr>
              <a:t>Complaints by category 2016/17</a:t>
            </a:r>
          </a:p>
        </c:rich>
      </c:tx>
      <c:layout/>
      <c:overlay val="0"/>
    </c:title>
    <c:autoTitleDeleted val="0"/>
    <c:plotArea>
      <c:layout/>
      <c:pieChart>
        <c:varyColors val="1"/>
        <c:ser>
          <c:idx val="0"/>
          <c:order val="0"/>
          <c:spPr>
            <a:ln>
              <a:noFill/>
            </a:ln>
          </c:spPr>
          <c:dPt>
            <c:idx val="0"/>
            <c:bubble3D val="0"/>
          </c:dPt>
          <c:dPt>
            <c:idx val="2"/>
            <c:bubble3D val="0"/>
            <c:spPr>
              <a:ln>
                <a:noFill/>
              </a:ln>
              <a:scene3d>
                <a:camera prst="orthographicFront"/>
                <a:lightRig rig="threePt" dir="t">
                  <a:rot lat="0" lon="0" rev="20400000"/>
                </a:lightRig>
              </a:scene3d>
              <a:sp3d>
                <a:bevelT w="41275" h="19050" prst="angle"/>
                <a:bevelB w="114300" prst="artDeco"/>
                <a:contourClr>
                  <a:srgbClr val="000000"/>
                </a:contourClr>
              </a:sp3d>
            </c:spPr>
          </c:dPt>
          <c:dPt>
            <c:idx val="4"/>
            <c:bubble3D val="0"/>
            <c:spPr>
              <a:solidFill>
                <a:schemeClr val="accent5">
                  <a:lumMod val="40000"/>
                  <a:lumOff val="60000"/>
                </a:schemeClr>
              </a:solidFill>
              <a:ln>
                <a:noFill/>
              </a:ln>
            </c:spPr>
          </c:dPt>
          <c:dPt>
            <c:idx val="6"/>
            <c:bubble3D val="0"/>
            <c:spPr>
              <a:solidFill>
                <a:schemeClr val="accent5">
                  <a:lumMod val="75000"/>
                </a:schemeClr>
              </a:solidFill>
              <a:ln>
                <a:noFill/>
              </a:ln>
            </c:spPr>
          </c:dPt>
          <c:dPt>
            <c:idx val="8"/>
            <c:bubble3D val="0"/>
            <c:spPr>
              <a:solidFill>
                <a:schemeClr val="accent3">
                  <a:lumMod val="60000"/>
                  <a:lumOff val="40000"/>
                </a:schemeClr>
              </a:solidFill>
              <a:ln>
                <a:noFill/>
              </a:ln>
            </c:spPr>
          </c:dPt>
          <c:dPt>
            <c:idx val="9"/>
            <c:bubble3D val="0"/>
            <c:spPr>
              <a:solidFill>
                <a:srgbClr val="CC66FF"/>
              </a:solidFill>
              <a:ln>
                <a:noFill/>
              </a:ln>
            </c:spPr>
          </c:dPt>
          <c:dPt>
            <c:idx val="10"/>
            <c:bubble3D val="0"/>
            <c:spPr>
              <a:solidFill>
                <a:schemeClr val="accent6">
                  <a:lumMod val="60000"/>
                  <a:lumOff val="40000"/>
                </a:schemeClr>
              </a:solidFill>
              <a:ln>
                <a:noFill/>
              </a:ln>
            </c:spPr>
          </c:dPt>
          <c:dPt>
            <c:idx val="14"/>
            <c:bubble3D val="0"/>
            <c:spPr>
              <a:solidFill>
                <a:srgbClr val="FFFFCC"/>
              </a:solidFill>
              <a:ln>
                <a:noFill/>
              </a:ln>
            </c:spPr>
          </c:dPt>
          <c:dLbls>
            <c:dLbl>
              <c:idx val="0"/>
              <c:layout>
                <c:manualLayout>
                  <c:x val="4.044015236408377E-2"/>
                  <c:y val="1.4329552567234735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2.6610979717105607E-2"/>
                  <c:y val="5.4872799237646094E-3"/>
                </c:manualLayout>
              </c:layou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4.7617566948889758E-2"/>
                  <c:y val="6.5083358251104687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8.4734785592621278E-2"/>
                  <c:y val="0.1353121366158343"/>
                </c:manualLayout>
              </c:layou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7.0423148849822884E-2"/>
                  <c:y val="6.0338729809553848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7.5381096237604486E-2"/>
                  <c:y val="6.1032666494327198E-3"/>
                </c:manualLayout>
              </c:layou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3.9006603083495149E-2"/>
                  <c:y val="-4.117677627434943E-2"/>
                </c:manualLayout>
              </c:layout>
              <c:showLegendKey val="0"/>
              <c:showVal val="1"/>
              <c:showCatName val="1"/>
              <c:showSerName val="0"/>
              <c:showPercent val="1"/>
              <c:showBubbleSize val="0"/>
              <c:extLst>
                <c:ext xmlns:c15="http://schemas.microsoft.com/office/drawing/2012/chart" uri="{CE6537A1-D6FC-4f65-9D91-7224C49458BB}"/>
              </c:extLst>
            </c:dLbl>
            <c:dLbl>
              <c:idx val="7"/>
              <c:layout>
                <c:manualLayout>
                  <c:x val="-5.5414448780244784E-2"/>
                  <c:y val="-1.0813648293963255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8"/>
              <c:layout>
                <c:manualLayout>
                  <c:x val="-1.2518887251721138E-2"/>
                  <c:y val="-7.8153522692706034E-3"/>
                </c:manualLayout>
              </c:layout>
              <c:showLegendKey val="0"/>
              <c:showVal val="1"/>
              <c:showCatName val="1"/>
              <c:showSerName val="0"/>
              <c:showPercent val="1"/>
              <c:showBubbleSize val="0"/>
              <c:extLst>
                <c:ext xmlns:c15="http://schemas.microsoft.com/office/drawing/2012/chart" uri="{CE6537A1-D6FC-4f65-9D91-7224C49458BB}"/>
              </c:extLst>
            </c:dLbl>
            <c:dLbl>
              <c:idx val="9"/>
              <c:layout>
                <c:manualLayout>
                  <c:x val="-2.5168155988451815E-2"/>
                  <c:y val="-3.9866025369649963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0"/>
              <c:layout>
                <c:manualLayout>
                  <c:x val="-8.4460025996493607E-3"/>
                  <c:y val="-4.6160608691536292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1"/>
              <c:layout>
                <c:manualLayout>
                  <c:x val="-2.8495742602917522E-2"/>
                  <c:y val="-7.5446759028539159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2"/>
              <c:layout>
                <c:manualLayout>
                  <c:x val="-2.3604181036222888E-2"/>
                  <c:y val="-0.11760922289777075"/>
                </c:manualLayout>
              </c:layout>
              <c:showLegendKey val="0"/>
              <c:showVal val="1"/>
              <c:showCatName val="1"/>
              <c:showSerName val="0"/>
              <c:showPercent val="1"/>
              <c:showBubbleSize val="0"/>
              <c:extLst>
                <c:ext xmlns:c15="http://schemas.microsoft.com/office/drawing/2012/chart" uri="{CE6537A1-D6FC-4f65-9D91-7224C49458BB}">
                  <c15:layout/>
                </c:ext>
              </c:extLst>
            </c:dLbl>
            <c:dLbl>
              <c:idx val="13"/>
              <c:layout>
                <c:manualLayout>
                  <c:x val="-0.13573628102857821"/>
                  <c:y val="5.0050832253563243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4"/>
              <c:layout>
                <c:manualLayout>
                  <c:x val="2.737558247038728E-2"/>
                  <c:y val="1.3688410016122898E-2"/>
                </c:manualLayout>
              </c:layout>
              <c:showLegendKey val="0"/>
              <c:showVal val="1"/>
              <c:showCatName val="1"/>
              <c:showSerName val="0"/>
              <c:showPercent val="1"/>
              <c:showBubbleSize val="0"/>
              <c:extLst>
                <c:ext xmlns:c15="http://schemas.microsoft.com/office/drawing/2012/chart" uri="{CE6537A1-D6FC-4f65-9D91-7224C49458BB}"/>
              </c:extLst>
            </c:dLbl>
            <c:dLbl>
              <c:idx val="15"/>
              <c:layout>
                <c:manualLayout>
                  <c:x val="-3.4121341486369048E-4"/>
                  <c:y val="-1.5179554669070151E-2"/>
                </c:manualLayout>
              </c:layout>
              <c:showLegendKey val="0"/>
              <c:showVal val="1"/>
              <c:showCatName val="1"/>
              <c:showSerName val="0"/>
              <c:showPercent val="1"/>
              <c:showBubbleSize val="0"/>
              <c:extLst>
                <c:ext xmlns:c15="http://schemas.microsoft.com/office/drawing/2012/chart" uri="{CE6537A1-D6FC-4f65-9D91-7224C49458BB}"/>
              </c:extLst>
            </c:dLbl>
            <c:dLbl>
              <c:idx val="17"/>
              <c:layout>
                <c:manualLayout>
                  <c:x val="2.2288609691215239E-2"/>
                  <c:y val="-8.1270474102130251E-3"/>
                </c:manualLayout>
              </c:layou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15:layout/>
              </c:ext>
            </c:extLst>
          </c:dLbls>
          <c:cat>
            <c:strRef>
              <c:f>Categories!$A$3:$A$20</c:f>
              <c:strCache>
                <c:ptCount val="18"/>
                <c:pt idx="0">
                  <c:v>Activities</c:v>
                </c:pt>
                <c:pt idx="1">
                  <c:v>Behavioural</c:v>
                </c:pt>
                <c:pt idx="2">
                  <c:v>Bullying</c:v>
                </c:pt>
                <c:pt idx="3">
                  <c:v>Care</c:v>
                </c:pt>
                <c:pt idx="4">
                  <c:v>Confidentiality</c:v>
                </c:pt>
                <c:pt idx="5">
                  <c:v>Property</c:v>
                </c:pt>
                <c:pt idx="6">
                  <c:v>Data Protection</c:v>
                </c:pt>
                <c:pt idx="7">
                  <c:v>Fees</c:v>
                </c:pt>
                <c:pt idx="8">
                  <c:v>Food</c:v>
                </c:pt>
                <c:pt idx="9">
                  <c:v>Laundry</c:v>
                </c:pt>
                <c:pt idx="10">
                  <c:v>Medication</c:v>
                </c:pt>
                <c:pt idx="11">
                  <c:v>Relationships with Serice Users</c:v>
                </c:pt>
                <c:pt idx="12">
                  <c:v>Relationships with Staff</c:v>
                </c:pt>
                <c:pt idx="13">
                  <c:v>Staff Actions</c:v>
                </c:pt>
                <c:pt idx="14">
                  <c:v>Support Needs</c:v>
                </c:pt>
                <c:pt idx="15">
                  <c:v>Theft</c:v>
                </c:pt>
                <c:pt idx="16">
                  <c:v>Vandalism </c:v>
                </c:pt>
                <c:pt idx="17">
                  <c:v>Other</c:v>
                </c:pt>
              </c:strCache>
            </c:strRef>
          </c:cat>
          <c:val>
            <c:numRef>
              <c:f>Categories!$I$3:$I$20</c:f>
              <c:numCache>
                <c:formatCode>General</c:formatCode>
                <c:ptCount val="18"/>
                <c:pt idx="0">
                  <c:v>1</c:v>
                </c:pt>
                <c:pt idx="1">
                  <c:v>15</c:v>
                </c:pt>
                <c:pt idx="2">
                  <c:v>6</c:v>
                </c:pt>
                <c:pt idx="3">
                  <c:v>1</c:v>
                </c:pt>
                <c:pt idx="4">
                  <c:v>1</c:v>
                </c:pt>
                <c:pt idx="5">
                  <c:v>2</c:v>
                </c:pt>
                <c:pt idx="7">
                  <c:v>1</c:v>
                </c:pt>
                <c:pt idx="9">
                  <c:v>1</c:v>
                </c:pt>
                <c:pt idx="10">
                  <c:v>2</c:v>
                </c:pt>
                <c:pt idx="11">
                  <c:v>2</c:v>
                </c:pt>
                <c:pt idx="12">
                  <c:v>1</c:v>
                </c:pt>
                <c:pt idx="13">
                  <c:v>27</c:v>
                </c:pt>
                <c:pt idx="16">
                  <c:v>2</c:v>
                </c:pt>
                <c:pt idx="17">
                  <c:v>12</c:v>
                </c:pt>
              </c:numCache>
            </c:numRef>
          </c:val>
        </c:ser>
        <c:dLbls>
          <c:showLegendKey val="0"/>
          <c:showVal val="1"/>
          <c:showCatName val="0"/>
          <c:showSerName val="0"/>
          <c:showPercent val="0"/>
          <c:showBubbleSize val="0"/>
          <c:showLeaderLines val="1"/>
        </c:dLbls>
        <c:firstSliceAng val="122"/>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latin typeface="Open Sans" panose="020B0606030504020204" pitchFamily="34" charset="0"/>
                <a:ea typeface="Open Sans" panose="020B0606030504020204" pitchFamily="34" charset="0"/>
                <a:cs typeface="Open Sans" panose="020B0606030504020204" pitchFamily="34" charset="0"/>
              </a:defRPr>
            </a:pPr>
            <a:r>
              <a:rPr lang="en-GB" sz="1400">
                <a:latin typeface="Open Sans" panose="020B0606030504020204" pitchFamily="34" charset="0"/>
                <a:ea typeface="Open Sans" panose="020B0606030504020204" pitchFamily="34" charset="0"/>
                <a:cs typeface="Open Sans" panose="020B0606030504020204" pitchFamily="34" charset="0"/>
              </a:rPr>
              <a:t>Comparison of complaints by category </a:t>
            </a:r>
          </a:p>
          <a:p>
            <a:pPr>
              <a:defRPr>
                <a:latin typeface="Open Sans" panose="020B0606030504020204" pitchFamily="34" charset="0"/>
                <a:ea typeface="Open Sans" panose="020B0606030504020204" pitchFamily="34" charset="0"/>
                <a:cs typeface="Open Sans" panose="020B0606030504020204" pitchFamily="34" charset="0"/>
              </a:defRPr>
            </a:pPr>
            <a:r>
              <a:rPr lang="en-GB" sz="1400">
                <a:latin typeface="Open Sans" panose="020B0606030504020204" pitchFamily="34" charset="0"/>
                <a:ea typeface="Open Sans" panose="020B0606030504020204" pitchFamily="34" charset="0"/>
                <a:cs typeface="Open Sans" panose="020B0606030504020204" pitchFamily="34" charset="0"/>
              </a:rPr>
              <a:t>2015/16 and 2016/17</a:t>
            </a:r>
          </a:p>
        </c:rich>
      </c:tx>
      <c:layout/>
      <c:overlay val="0"/>
    </c:title>
    <c:autoTitleDeleted val="0"/>
    <c:plotArea>
      <c:layout/>
      <c:barChart>
        <c:barDir val="col"/>
        <c:grouping val="clustered"/>
        <c:varyColors val="0"/>
        <c:ser>
          <c:idx val="0"/>
          <c:order val="0"/>
          <c:tx>
            <c:strRef>
              <c:f>'Type of complaint'!$J$1</c:f>
              <c:strCache>
                <c:ptCount val="1"/>
                <c:pt idx="0">
                  <c:v>2015/16</c:v>
                </c:pt>
              </c:strCache>
            </c:strRef>
          </c:tx>
          <c:spPr>
            <a:solidFill>
              <a:schemeClr val="accent6">
                <a:lumMod val="75000"/>
              </a:schemeClr>
            </a:solidFill>
          </c:spPr>
          <c:invertIfNegative val="0"/>
          <c:cat>
            <c:strRef>
              <c:f>'Type of complaint'!$A$2:$A$20</c:f>
              <c:strCache>
                <c:ptCount val="18"/>
                <c:pt idx="0">
                  <c:v>Activities</c:v>
                </c:pt>
                <c:pt idx="1">
                  <c:v>Behavioural</c:v>
                </c:pt>
                <c:pt idx="2">
                  <c:v>Bullying</c:v>
                </c:pt>
                <c:pt idx="3">
                  <c:v>Care</c:v>
                </c:pt>
                <c:pt idx="4">
                  <c:v>Confidentiality</c:v>
                </c:pt>
                <c:pt idx="5">
                  <c:v>Data Protection</c:v>
                </c:pt>
                <c:pt idx="6">
                  <c:v>Fees</c:v>
                </c:pt>
                <c:pt idx="7">
                  <c:v>Food</c:v>
                </c:pt>
                <c:pt idx="8">
                  <c:v>Laundry</c:v>
                </c:pt>
                <c:pt idx="9">
                  <c:v>Medication</c:v>
                </c:pt>
                <c:pt idx="10">
                  <c:v>Property</c:v>
                </c:pt>
                <c:pt idx="11">
                  <c:v>Relationships with Staff</c:v>
                </c:pt>
                <c:pt idx="12">
                  <c:v>Relationships with SU</c:v>
                </c:pt>
                <c:pt idx="13">
                  <c:v>Staff Actions</c:v>
                </c:pt>
                <c:pt idx="14">
                  <c:v>Support Needs</c:v>
                </c:pt>
                <c:pt idx="15">
                  <c:v>Theft</c:v>
                </c:pt>
                <c:pt idx="16">
                  <c:v>Vandalism </c:v>
                </c:pt>
                <c:pt idx="17">
                  <c:v>Other</c:v>
                </c:pt>
              </c:strCache>
            </c:strRef>
          </c:cat>
          <c:val>
            <c:numRef>
              <c:f>'Type of complaint'!$J$3:$J$20</c:f>
              <c:numCache>
                <c:formatCode>General</c:formatCode>
                <c:ptCount val="18"/>
                <c:pt idx="0">
                  <c:v>2</c:v>
                </c:pt>
                <c:pt idx="1">
                  <c:v>12</c:v>
                </c:pt>
                <c:pt idx="2">
                  <c:v>4</c:v>
                </c:pt>
                <c:pt idx="3">
                  <c:v>4</c:v>
                </c:pt>
                <c:pt idx="4">
                  <c:v>1</c:v>
                </c:pt>
                <c:pt idx="5">
                  <c:v>1</c:v>
                </c:pt>
                <c:pt idx="7">
                  <c:v>7</c:v>
                </c:pt>
                <c:pt idx="8">
                  <c:v>3</c:v>
                </c:pt>
                <c:pt idx="9">
                  <c:v>1</c:v>
                </c:pt>
                <c:pt idx="10">
                  <c:v>1</c:v>
                </c:pt>
                <c:pt idx="11">
                  <c:v>4</c:v>
                </c:pt>
                <c:pt idx="12">
                  <c:v>10</c:v>
                </c:pt>
                <c:pt idx="13">
                  <c:v>20</c:v>
                </c:pt>
                <c:pt idx="14">
                  <c:v>1</c:v>
                </c:pt>
                <c:pt idx="15">
                  <c:v>1</c:v>
                </c:pt>
                <c:pt idx="17">
                  <c:v>8</c:v>
                </c:pt>
              </c:numCache>
            </c:numRef>
          </c:val>
        </c:ser>
        <c:ser>
          <c:idx val="1"/>
          <c:order val="1"/>
          <c:tx>
            <c:strRef>
              <c:f>'Type of complaint'!$K$1</c:f>
              <c:strCache>
                <c:ptCount val="1"/>
                <c:pt idx="0">
                  <c:v>2016/17</c:v>
                </c:pt>
              </c:strCache>
            </c:strRef>
          </c:tx>
          <c:spPr>
            <a:solidFill>
              <a:schemeClr val="tx2"/>
            </a:solidFill>
          </c:spPr>
          <c:invertIfNegative val="0"/>
          <c:cat>
            <c:strRef>
              <c:f>'Type of complaint'!$A$2:$A$20</c:f>
              <c:strCache>
                <c:ptCount val="18"/>
                <c:pt idx="0">
                  <c:v>Activities</c:v>
                </c:pt>
                <c:pt idx="1">
                  <c:v>Behavioural</c:v>
                </c:pt>
                <c:pt idx="2">
                  <c:v>Bullying</c:v>
                </c:pt>
                <c:pt idx="3">
                  <c:v>Care</c:v>
                </c:pt>
                <c:pt idx="4">
                  <c:v>Confidentiality</c:v>
                </c:pt>
                <c:pt idx="5">
                  <c:v>Data Protection</c:v>
                </c:pt>
                <c:pt idx="6">
                  <c:v>Fees</c:v>
                </c:pt>
                <c:pt idx="7">
                  <c:v>Food</c:v>
                </c:pt>
                <c:pt idx="8">
                  <c:v>Laundry</c:v>
                </c:pt>
                <c:pt idx="9">
                  <c:v>Medication</c:v>
                </c:pt>
                <c:pt idx="10">
                  <c:v>Property</c:v>
                </c:pt>
                <c:pt idx="11">
                  <c:v>Relationships with Staff</c:v>
                </c:pt>
                <c:pt idx="12">
                  <c:v>Relationships with SU</c:v>
                </c:pt>
                <c:pt idx="13">
                  <c:v>Staff Actions</c:v>
                </c:pt>
                <c:pt idx="14">
                  <c:v>Support Needs</c:v>
                </c:pt>
                <c:pt idx="15">
                  <c:v>Theft</c:v>
                </c:pt>
                <c:pt idx="16">
                  <c:v>Vandalism </c:v>
                </c:pt>
                <c:pt idx="17">
                  <c:v>Other</c:v>
                </c:pt>
              </c:strCache>
            </c:strRef>
          </c:cat>
          <c:val>
            <c:numRef>
              <c:f>'Type of complaint'!$K$3:$K$20</c:f>
              <c:numCache>
                <c:formatCode>General</c:formatCode>
                <c:ptCount val="18"/>
                <c:pt idx="0">
                  <c:v>1</c:v>
                </c:pt>
                <c:pt idx="1">
                  <c:v>15</c:v>
                </c:pt>
                <c:pt idx="2">
                  <c:v>6</c:v>
                </c:pt>
                <c:pt idx="3">
                  <c:v>1</c:v>
                </c:pt>
                <c:pt idx="4">
                  <c:v>1</c:v>
                </c:pt>
                <c:pt idx="6">
                  <c:v>1</c:v>
                </c:pt>
                <c:pt idx="8">
                  <c:v>1</c:v>
                </c:pt>
                <c:pt idx="9">
                  <c:v>2</c:v>
                </c:pt>
                <c:pt idx="10">
                  <c:v>2</c:v>
                </c:pt>
                <c:pt idx="11">
                  <c:v>1</c:v>
                </c:pt>
                <c:pt idx="12">
                  <c:v>2</c:v>
                </c:pt>
                <c:pt idx="13">
                  <c:v>27</c:v>
                </c:pt>
                <c:pt idx="16">
                  <c:v>2</c:v>
                </c:pt>
                <c:pt idx="17">
                  <c:v>12</c:v>
                </c:pt>
              </c:numCache>
            </c:numRef>
          </c:val>
        </c:ser>
        <c:dLbls>
          <c:showLegendKey val="0"/>
          <c:showVal val="0"/>
          <c:showCatName val="0"/>
          <c:showSerName val="0"/>
          <c:showPercent val="0"/>
          <c:showBubbleSize val="0"/>
        </c:dLbls>
        <c:gapWidth val="150"/>
        <c:axId val="557091504"/>
        <c:axId val="557091896"/>
      </c:barChart>
      <c:catAx>
        <c:axId val="557091504"/>
        <c:scaling>
          <c:orientation val="minMax"/>
        </c:scaling>
        <c:delete val="0"/>
        <c:axPos val="b"/>
        <c:title>
          <c:tx>
            <c:rich>
              <a:bodyPr/>
              <a:lstStyle/>
              <a:p>
                <a:pPr>
                  <a:defRPr/>
                </a:pPr>
                <a:r>
                  <a:rPr lang="en-GB"/>
                  <a:t>Types of complaint</a:t>
                </a:r>
              </a:p>
            </c:rich>
          </c:tx>
          <c:layout/>
          <c:overlay val="0"/>
        </c:title>
        <c:numFmt formatCode="General" sourceLinked="0"/>
        <c:majorTickMark val="out"/>
        <c:minorTickMark val="none"/>
        <c:tickLblPos val="nextTo"/>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crossAx val="557091896"/>
        <c:crosses val="autoZero"/>
        <c:auto val="1"/>
        <c:lblAlgn val="ctr"/>
        <c:lblOffset val="100"/>
        <c:noMultiLvlLbl val="0"/>
      </c:catAx>
      <c:valAx>
        <c:axId val="557091896"/>
        <c:scaling>
          <c:orientation val="minMax"/>
        </c:scaling>
        <c:delete val="0"/>
        <c:axPos val="l"/>
        <c:majorGridlines/>
        <c:title>
          <c:tx>
            <c:rich>
              <a:bodyPr rot="-5400000" vert="horz"/>
              <a:lstStyle/>
              <a:p>
                <a:pPr>
                  <a:defRPr/>
                </a:pPr>
                <a:r>
                  <a:rPr lang="en-GB"/>
                  <a:t>Number of complaints</a:t>
                </a:r>
              </a:p>
            </c:rich>
          </c:tx>
          <c:layout/>
          <c:overlay val="0"/>
        </c:title>
        <c:numFmt formatCode="General" sourceLinked="1"/>
        <c:majorTickMark val="out"/>
        <c:minorTickMark val="none"/>
        <c:tickLblPos val="nextTo"/>
        <c:crossAx val="557091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Complaints by Service Type 2016/17</a:t>
            </a:r>
          </a:p>
        </c:rich>
      </c:tx>
      <c:layout/>
      <c:overlay val="0"/>
    </c:title>
    <c:autoTitleDeleted val="0"/>
    <c:plotArea>
      <c:layout/>
      <c:pieChart>
        <c:varyColors val="1"/>
        <c:ser>
          <c:idx val="0"/>
          <c:order val="0"/>
          <c:tx>
            <c:strRef>
              <c:f>'Service Type'!$J$1</c:f>
              <c:strCache>
                <c:ptCount val="1"/>
                <c:pt idx="0">
                  <c:v>2016/17</c:v>
                </c:pt>
              </c:strCache>
            </c:strRef>
          </c:tx>
          <c:dPt>
            <c:idx val="2"/>
            <c:bubble3D val="0"/>
            <c:spPr>
              <a:solidFill>
                <a:schemeClr val="accent3">
                  <a:lumMod val="75000"/>
                </a:schemeClr>
              </a:solidFill>
            </c:spPr>
          </c:dPt>
          <c:dPt>
            <c:idx val="3"/>
            <c:bubble3D val="0"/>
            <c:spPr>
              <a:solidFill>
                <a:schemeClr val="accent5">
                  <a:lumMod val="60000"/>
                  <a:lumOff val="40000"/>
                </a:schemeClr>
              </a:solidFill>
            </c:spPr>
          </c:dPt>
          <c:dPt>
            <c:idx val="4"/>
            <c:bubble3D val="0"/>
            <c:spPr>
              <a:solidFill>
                <a:schemeClr val="accent6">
                  <a:lumMod val="60000"/>
                  <a:lumOff val="40000"/>
                </a:schemeClr>
              </a:solidFill>
            </c:spPr>
          </c:dPt>
          <c:dPt>
            <c:idx val="6"/>
            <c:bubble3D val="0"/>
            <c:spPr>
              <a:solidFill>
                <a:schemeClr val="bg2">
                  <a:lumMod val="75000"/>
                </a:schemeClr>
              </a:solidFill>
            </c:spPr>
          </c:dPt>
          <c:dLbls>
            <c:dLbl>
              <c:idx val="0"/>
              <c:layout>
                <c:manualLayout>
                  <c:x val="1.5000826612144415E-2"/>
                  <c:y val="-2.3338813551972763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1.3531204042278873E-2"/>
                  <c:y val="-2.5014489424457883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1.1425365119383276E-2"/>
                  <c:y val="-2.592026463928367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2389983986324898"/>
                  <c:y val="1.4821615256210667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1.295424709868833E-2"/>
                  <c:y val="1.7801718473875509E-2"/>
                </c:manualLayout>
              </c:layout>
              <c:showLegendKey val="0"/>
              <c:showVal val="1"/>
              <c:showCatName val="1"/>
              <c:showSerName val="0"/>
              <c:showPercent val="1"/>
              <c:showBubbleSize val="0"/>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8.6511188812772512E-4"/>
                  <c:y val="5.82608917276723E-2"/>
                </c:manualLayout>
              </c:layout>
              <c:showLegendKey val="0"/>
              <c:showVal val="1"/>
              <c:showCatName val="1"/>
              <c:showSerName val="0"/>
              <c:showPercent val="1"/>
              <c:showBubbleSize val="0"/>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layout>
                <c:manualLayout>
                  <c:x val="1.0112123256007821E-2"/>
                  <c:y val="2.8294671183836967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0"/>
              <c:layout>
                <c:manualLayout>
                  <c:x val="-2.4347817838898347E-2"/>
                  <c:y val="-4.8055619323554594E-2"/>
                </c:manualLayout>
              </c:layout>
              <c:showLegendKey val="0"/>
              <c:showVal val="1"/>
              <c:showCatName val="1"/>
              <c:showSerName val="0"/>
              <c:showPercent val="1"/>
              <c:showBubbleSize val="0"/>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layout>
                <c:manualLayout>
                  <c:x val="-0.15355131843984618"/>
                  <c:y val="-7.7111979707572637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3"/>
              <c:layout>
                <c:manualLayout>
                  <c:x val="-3.5126001465147112E-2"/>
                  <c:y val="-2.294558828056292E-2"/>
                </c:manualLayout>
              </c:layou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15:layout/>
              </c:ext>
            </c:extLst>
          </c:dLbls>
          <c:cat>
            <c:strRef>
              <c:f>'Service Type'!$A$2:$A$16</c:f>
              <c:strCache>
                <c:ptCount val="15"/>
                <c:pt idx="0">
                  <c:v>Adoption</c:v>
                </c:pt>
                <c:pt idx="1">
                  <c:v>Adult Residential</c:v>
                </c:pt>
                <c:pt idx="2">
                  <c:v>Children's Homes</c:v>
                </c:pt>
                <c:pt idx="3">
                  <c:v>Community Choices</c:v>
                </c:pt>
                <c:pt idx="4">
                  <c:v>HSU</c:v>
                </c:pt>
                <c:pt idx="5">
                  <c:v>Day Care</c:v>
                </c:pt>
                <c:pt idx="6">
                  <c:v>Fundraising</c:v>
                </c:pt>
                <c:pt idx="7">
                  <c:v>Hard of Hearing</c:v>
                </c:pt>
                <c:pt idx="8">
                  <c:v>Public</c:v>
                </c:pt>
                <c:pt idx="9">
                  <c:v>Head Office</c:v>
                </c:pt>
                <c:pt idx="10">
                  <c:v>Property Services</c:v>
                </c:pt>
                <c:pt idx="11">
                  <c:v>Schools</c:v>
                </c:pt>
                <c:pt idx="12">
                  <c:v>School Social Worker</c:v>
                </c:pt>
                <c:pt idx="13">
                  <c:v>Secure</c:v>
                </c:pt>
                <c:pt idx="14">
                  <c:v>Volunteers</c:v>
                </c:pt>
              </c:strCache>
            </c:strRef>
          </c:cat>
          <c:val>
            <c:numRef>
              <c:f>'Service Type'!$J$2:$J$16</c:f>
              <c:numCache>
                <c:formatCode>General</c:formatCode>
                <c:ptCount val="15"/>
                <c:pt idx="0">
                  <c:v>2</c:v>
                </c:pt>
                <c:pt idx="1">
                  <c:v>9</c:v>
                </c:pt>
                <c:pt idx="2">
                  <c:v>19</c:v>
                </c:pt>
                <c:pt idx="3">
                  <c:v>1</c:v>
                </c:pt>
                <c:pt idx="8">
                  <c:v>1</c:v>
                </c:pt>
                <c:pt idx="9">
                  <c:v>1</c:v>
                </c:pt>
                <c:pt idx="12">
                  <c:v>1</c:v>
                </c:pt>
                <c:pt idx="13">
                  <c:v>40</c:v>
                </c:pt>
              </c:numCache>
            </c:numRef>
          </c:val>
        </c:ser>
        <c:dLbls>
          <c:showLegendKey val="0"/>
          <c:showVal val="1"/>
          <c:showCatName val="0"/>
          <c:showSerName val="0"/>
          <c:showPercent val="0"/>
          <c:showBubbleSize val="0"/>
          <c:showLeaderLines val="1"/>
        </c:dLbls>
        <c:firstSliceAng val="32"/>
      </c:pieChart>
    </c:plotArea>
    <c:plotVisOnly val="1"/>
    <c:dispBlanksAs val="gap"/>
    <c:showDLblsOverMax val="0"/>
  </c:chart>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Subject of complaints 2016/17 </a:t>
            </a:r>
          </a:p>
        </c:rich>
      </c:tx>
      <c:layout/>
      <c:overlay val="0"/>
    </c:title>
    <c:autoTitleDeleted val="0"/>
    <c:plotArea>
      <c:layout/>
      <c:barChart>
        <c:barDir val="col"/>
        <c:grouping val="clustered"/>
        <c:varyColors val="0"/>
        <c:ser>
          <c:idx val="0"/>
          <c:order val="0"/>
          <c:spPr>
            <a:solidFill>
              <a:schemeClr val="accent4">
                <a:lumMod val="60000"/>
                <a:lumOff val="40000"/>
              </a:schemeClr>
            </a:solidFill>
          </c:spPr>
          <c:invertIfNegative val="0"/>
          <c:cat>
            <c:strRef>
              <c:f>'Complaints Against'!$A$1:$B$1</c:f>
              <c:strCache>
                <c:ptCount val="2"/>
                <c:pt idx="0">
                  <c:v>Against Nugent Care</c:v>
                </c:pt>
                <c:pt idx="1">
                  <c:v>Against other service users</c:v>
                </c:pt>
              </c:strCache>
            </c:strRef>
          </c:cat>
          <c:val>
            <c:numRef>
              <c:f>'Complaints Against'!$A$2:$B$2</c:f>
              <c:numCache>
                <c:formatCode>General</c:formatCode>
                <c:ptCount val="2"/>
                <c:pt idx="0">
                  <c:v>51</c:v>
                </c:pt>
                <c:pt idx="1">
                  <c:v>23</c:v>
                </c:pt>
              </c:numCache>
            </c:numRef>
          </c:val>
        </c:ser>
        <c:dLbls>
          <c:showLegendKey val="0"/>
          <c:showVal val="0"/>
          <c:showCatName val="0"/>
          <c:showSerName val="0"/>
          <c:showPercent val="0"/>
          <c:showBubbleSize val="0"/>
        </c:dLbls>
        <c:gapWidth val="150"/>
        <c:axId val="554397240"/>
        <c:axId val="554397632"/>
      </c:barChart>
      <c:catAx>
        <c:axId val="554397240"/>
        <c:scaling>
          <c:orientation val="minMax"/>
        </c:scaling>
        <c:delete val="0"/>
        <c:axPos val="b"/>
        <c:numFmt formatCode="General" sourceLinked="0"/>
        <c:majorTickMark val="out"/>
        <c:minorTickMark val="none"/>
        <c:tickLblPos val="nextTo"/>
        <c:crossAx val="554397632"/>
        <c:crosses val="autoZero"/>
        <c:auto val="1"/>
        <c:lblAlgn val="ctr"/>
        <c:lblOffset val="100"/>
        <c:noMultiLvlLbl val="0"/>
      </c:catAx>
      <c:valAx>
        <c:axId val="554397632"/>
        <c:scaling>
          <c:orientation val="minMax"/>
        </c:scaling>
        <c:delete val="0"/>
        <c:axPos val="l"/>
        <c:majorGridlines/>
        <c:title>
          <c:tx>
            <c:rich>
              <a:bodyPr rot="-5400000" vert="horz"/>
              <a:lstStyle/>
              <a:p>
                <a:pPr>
                  <a:defRPr/>
                </a:pPr>
                <a:r>
                  <a:rPr lang="en-US"/>
                  <a:t>Number of complaints</a:t>
                </a:r>
              </a:p>
            </c:rich>
          </c:tx>
          <c:layout/>
          <c:overlay val="0"/>
        </c:title>
        <c:numFmt formatCode="General" sourceLinked="1"/>
        <c:majorTickMark val="out"/>
        <c:minorTickMark val="none"/>
        <c:tickLblPos val="nextTo"/>
        <c:crossAx val="554397240"/>
        <c:crosses val="autoZero"/>
        <c:crossBetween val="between"/>
      </c:valAx>
    </c:plotArea>
    <c:plotVisOnly val="1"/>
    <c:dispBlanksAs val="gap"/>
    <c:showDLblsOverMax val="0"/>
  </c:chart>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GB"/>
              <a:t>Outcomes of complaints 2016/17</a:t>
            </a:r>
          </a:p>
        </c:rich>
      </c:tx>
      <c:layout/>
      <c:overlay val="0"/>
    </c:title>
    <c:autoTitleDeleted val="0"/>
    <c:plotArea>
      <c:layout/>
      <c:barChart>
        <c:barDir val="col"/>
        <c:grouping val="clustered"/>
        <c:varyColors val="0"/>
        <c:ser>
          <c:idx val="0"/>
          <c:order val="0"/>
          <c:tx>
            <c:strRef>
              <c:f>Outcomes!$B$116</c:f>
              <c:strCache>
                <c:ptCount val="1"/>
                <c:pt idx="0">
                  <c:v>Upheld</c:v>
                </c:pt>
              </c:strCache>
            </c:strRef>
          </c:tx>
          <c:spPr>
            <a:solidFill>
              <a:schemeClr val="bg2">
                <a:lumMod val="75000"/>
              </a:schemeClr>
            </a:solidFill>
          </c:spPr>
          <c:invertIfNegative val="0"/>
          <c:cat>
            <c:strRef>
              <c:f>Outcomes!$A$117:$A$121</c:f>
              <c:strCache>
                <c:ptCount val="5"/>
                <c:pt idx="0">
                  <c:v>Adult Residential</c:v>
                </c:pt>
                <c:pt idx="1">
                  <c:v>Children's</c:v>
                </c:pt>
                <c:pt idx="2">
                  <c:v>Head Office </c:v>
                </c:pt>
                <c:pt idx="3">
                  <c:v>Community Choices</c:v>
                </c:pt>
                <c:pt idx="4">
                  <c:v>Public </c:v>
                </c:pt>
              </c:strCache>
            </c:strRef>
          </c:cat>
          <c:val>
            <c:numRef>
              <c:f>Outcomes!$B$117:$B$121</c:f>
              <c:numCache>
                <c:formatCode>General</c:formatCode>
                <c:ptCount val="5"/>
                <c:pt idx="0">
                  <c:v>3</c:v>
                </c:pt>
                <c:pt idx="1">
                  <c:v>22</c:v>
                </c:pt>
                <c:pt idx="2">
                  <c:v>1</c:v>
                </c:pt>
              </c:numCache>
            </c:numRef>
          </c:val>
        </c:ser>
        <c:ser>
          <c:idx val="1"/>
          <c:order val="1"/>
          <c:tx>
            <c:strRef>
              <c:f>Outcomes!$C$116</c:f>
              <c:strCache>
                <c:ptCount val="1"/>
                <c:pt idx="0">
                  <c:v>Not Upheld</c:v>
                </c:pt>
              </c:strCache>
            </c:strRef>
          </c:tx>
          <c:spPr>
            <a:solidFill>
              <a:schemeClr val="accent1"/>
            </a:solidFill>
          </c:spPr>
          <c:invertIfNegative val="0"/>
          <c:cat>
            <c:strRef>
              <c:f>Outcomes!$A$117:$A$121</c:f>
              <c:strCache>
                <c:ptCount val="5"/>
                <c:pt idx="0">
                  <c:v>Adult Residential</c:v>
                </c:pt>
                <c:pt idx="1">
                  <c:v>Children's</c:v>
                </c:pt>
                <c:pt idx="2">
                  <c:v>Head Office </c:v>
                </c:pt>
                <c:pt idx="3">
                  <c:v>Community Choices</c:v>
                </c:pt>
                <c:pt idx="4">
                  <c:v>Public </c:v>
                </c:pt>
              </c:strCache>
            </c:strRef>
          </c:cat>
          <c:val>
            <c:numRef>
              <c:f>Outcomes!$C$117:$C$121</c:f>
              <c:numCache>
                <c:formatCode>General</c:formatCode>
                <c:ptCount val="5"/>
                <c:pt idx="0">
                  <c:v>3</c:v>
                </c:pt>
                <c:pt idx="1">
                  <c:v>24</c:v>
                </c:pt>
                <c:pt idx="4">
                  <c:v>1</c:v>
                </c:pt>
              </c:numCache>
            </c:numRef>
          </c:val>
        </c:ser>
        <c:ser>
          <c:idx val="2"/>
          <c:order val="2"/>
          <c:tx>
            <c:strRef>
              <c:f>Outcomes!$D$116</c:f>
              <c:strCache>
                <c:ptCount val="1"/>
                <c:pt idx="0">
                  <c:v>Partially Upheld</c:v>
                </c:pt>
              </c:strCache>
            </c:strRef>
          </c:tx>
          <c:spPr>
            <a:solidFill>
              <a:srgbClr val="92D050"/>
            </a:solidFill>
          </c:spPr>
          <c:invertIfNegative val="0"/>
          <c:cat>
            <c:strRef>
              <c:f>Outcomes!$A$117:$A$121</c:f>
              <c:strCache>
                <c:ptCount val="5"/>
                <c:pt idx="0">
                  <c:v>Adult Residential</c:v>
                </c:pt>
                <c:pt idx="1">
                  <c:v>Children's</c:v>
                </c:pt>
                <c:pt idx="2">
                  <c:v>Head Office </c:v>
                </c:pt>
                <c:pt idx="3">
                  <c:v>Community Choices</c:v>
                </c:pt>
                <c:pt idx="4">
                  <c:v>Public </c:v>
                </c:pt>
              </c:strCache>
            </c:strRef>
          </c:cat>
          <c:val>
            <c:numRef>
              <c:f>Outcomes!$D$117:$D$121</c:f>
              <c:numCache>
                <c:formatCode>General</c:formatCode>
                <c:ptCount val="5"/>
                <c:pt idx="0">
                  <c:v>1</c:v>
                </c:pt>
                <c:pt idx="1">
                  <c:v>16</c:v>
                </c:pt>
                <c:pt idx="3">
                  <c:v>1</c:v>
                </c:pt>
              </c:numCache>
            </c:numRef>
          </c:val>
        </c:ser>
        <c:ser>
          <c:idx val="3"/>
          <c:order val="3"/>
          <c:tx>
            <c:strRef>
              <c:f>Outcomes!$E$116</c:f>
              <c:strCache>
                <c:ptCount val="1"/>
                <c:pt idx="0">
                  <c:v>N/A</c:v>
                </c:pt>
              </c:strCache>
            </c:strRef>
          </c:tx>
          <c:invertIfNegative val="0"/>
          <c:val>
            <c:numRef>
              <c:f>Outcomes!$E$117:$E$121</c:f>
              <c:numCache>
                <c:formatCode>General</c:formatCode>
                <c:ptCount val="5"/>
                <c:pt idx="0">
                  <c:v>2</c:v>
                </c:pt>
              </c:numCache>
            </c:numRef>
          </c:val>
        </c:ser>
        <c:dLbls>
          <c:showLegendKey val="0"/>
          <c:showVal val="0"/>
          <c:showCatName val="0"/>
          <c:showSerName val="0"/>
          <c:showPercent val="0"/>
          <c:showBubbleSize val="0"/>
        </c:dLbls>
        <c:gapWidth val="150"/>
        <c:axId val="554398416"/>
        <c:axId val="550889304"/>
      </c:barChart>
      <c:catAx>
        <c:axId val="554398416"/>
        <c:scaling>
          <c:orientation val="minMax"/>
        </c:scaling>
        <c:delete val="0"/>
        <c:axPos val="b"/>
        <c:numFmt formatCode="General" sourceLinked="0"/>
        <c:majorTickMark val="out"/>
        <c:minorTickMark val="none"/>
        <c:tickLblPos val="nextTo"/>
        <c:crossAx val="550889304"/>
        <c:crosses val="autoZero"/>
        <c:auto val="1"/>
        <c:lblAlgn val="ctr"/>
        <c:lblOffset val="100"/>
        <c:noMultiLvlLbl val="0"/>
      </c:catAx>
      <c:valAx>
        <c:axId val="550889304"/>
        <c:scaling>
          <c:orientation val="minMax"/>
          <c:max val="28"/>
        </c:scaling>
        <c:delete val="0"/>
        <c:axPos val="l"/>
        <c:majorGridlines/>
        <c:numFmt formatCode="General" sourceLinked="1"/>
        <c:majorTickMark val="out"/>
        <c:minorTickMark val="none"/>
        <c:tickLblPos val="nextTo"/>
        <c:crossAx val="554398416"/>
        <c:crosses val="autoZero"/>
        <c:crossBetween val="between"/>
        <c:majorUnit val="2"/>
      </c:valAx>
      <c:dTable>
        <c:showHorzBorder val="1"/>
        <c:showVertBorder val="1"/>
        <c:showOutline val="1"/>
        <c:showKeys val="1"/>
      </c:dTable>
    </c:plotArea>
    <c:plotVisOnly val="1"/>
    <c:dispBlanksAs val="gap"/>
    <c:showDLblsOverMax val="0"/>
  </c:chart>
  <c:spPr>
    <a:solidFill>
      <a:schemeClr val="lt1"/>
    </a:solidFill>
    <a:ln w="25400" cap="flat" cmpd="sng" algn="ctr">
      <a:solidFill>
        <a:schemeClr val="accent5"/>
      </a:solidFill>
      <a:prstDash val="solid"/>
    </a:ln>
    <a:effectLst/>
  </c:spPr>
  <c:txPr>
    <a:bodyPr/>
    <a:lstStyle/>
    <a:p>
      <a:pPr>
        <a:defRPr sz="750">
          <a:solidFill>
            <a:schemeClr val="dk1"/>
          </a:solidFill>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en-GB"/>
              <a:t>Gender of Complainants 2016/17</a:t>
            </a:r>
          </a:p>
        </c:rich>
      </c:tx>
      <c:layout/>
      <c:overlay val="0"/>
    </c:title>
    <c:autoTitleDeleted val="0"/>
    <c:plotArea>
      <c:layout/>
      <c:barChart>
        <c:barDir val="col"/>
        <c:grouping val="clustered"/>
        <c:varyColors val="0"/>
        <c:ser>
          <c:idx val="0"/>
          <c:order val="0"/>
          <c:invertIfNegative val="0"/>
          <c:cat>
            <c:strRef>
              <c:f>Gender!$A$2:$A$3</c:f>
              <c:strCache>
                <c:ptCount val="2"/>
                <c:pt idx="0">
                  <c:v>Male</c:v>
                </c:pt>
                <c:pt idx="1">
                  <c:v>Female</c:v>
                </c:pt>
              </c:strCache>
            </c:strRef>
          </c:cat>
          <c:val>
            <c:numRef>
              <c:f>Gender!$B$2:$B$3</c:f>
              <c:numCache>
                <c:formatCode>General</c:formatCode>
                <c:ptCount val="2"/>
                <c:pt idx="0">
                  <c:v>22</c:v>
                </c:pt>
                <c:pt idx="1">
                  <c:v>52</c:v>
                </c:pt>
              </c:numCache>
            </c:numRef>
          </c:val>
        </c:ser>
        <c:dLbls>
          <c:showLegendKey val="0"/>
          <c:showVal val="0"/>
          <c:showCatName val="0"/>
          <c:showSerName val="0"/>
          <c:showPercent val="0"/>
          <c:showBubbleSize val="0"/>
        </c:dLbls>
        <c:gapWidth val="150"/>
        <c:axId val="550890480"/>
        <c:axId val="550890872"/>
      </c:barChart>
      <c:catAx>
        <c:axId val="550890480"/>
        <c:scaling>
          <c:orientation val="minMax"/>
        </c:scaling>
        <c:delete val="0"/>
        <c:axPos val="b"/>
        <c:title>
          <c:tx>
            <c:rich>
              <a:bodyPr/>
              <a:lstStyle/>
              <a:p>
                <a:pPr>
                  <a:defRPr/>
                </a:pPr>
                <a:r>
                  <a:rPr lang="en-GB"/>
                  <a:t>Gender</a:t>
                </a:r>
              </a:p>
            </c:rich>
          </c:tx>
          <c:layout/>
          <c:overlay val="0"/>
        </c:title>
        <c:numFmt formatCode="General" sourceLinked="0"/>
        <c:majorTickMark val="out"/>
        <c:minorTickMark val="none"/>
        <c:tickLblPos val="nextTo"/>
        <c:crossAx val="550890872"/>
        <c:crosses val="autoZero"/>
        <c:auto val="1"/>
        <c:lblAlgn val="ctr"/>
        <c:lblOffset val="100"/>
        <c:noMultiLvlLbl val="0"/>
      </c:catAx>
      <c:valAx>
        <c:axId val="550890872"/>
        <c:scaling>
          <c:orientation val="minMax"/>
        </c:scaling>
        <c:delete val="0"/>
        <c:axPos val="l"/>
        <c:majorGridlines/>
        <c:title>
          <c:tx>
            <c:rich>
              <a:bodyPr rot="-5400000" vert="horz"/>
              <a:lstStyle/>
              <a:p>
                <a:pPr>
                  <a:defRPr/>
                </a:pPr>
                <a:r>
                  <a:rPr lang="en-GB"/>
                  <a:t>Number of Complainants</a:t>
                </a:r>
              </a:p>
            </c:rich>
          </c:tx>
          <c:layout/>
          <c:overlay val="0"/>
        </c:title>
        <c:numFmt formatCode="General" sourceLinked="1"/>
        <c:majorTickMark val="out"/>
        <c:minorTickMark val="none"/>
        <c:tickLblPos val="nextTo"/>
        <c:crossAx val="550890480"/>
        <c:crosses val="autoZero"/>
        <c:crossBetween val="between"/>
      </c:valAx>
    </c:plotArea>
    <c:plotVisOnly val="1"/>
    <c:dispBlanksAs val="gap"/>
    <c:showDLblsOverMax val="0"/>
  </c:chart>
  <c:txPr>
    <a:bodyPr/>
    <a:lstStyle/>
    <a:p>
      <a:pPr>
        <a:defRPr>
          <a:latin typeface="Open Sans" panose="020B0606030504020204" pitchFamily="34" charset="0"/>
          <a:ea typeface="Open Sans" panose="020B0606030504020204" pitchFamily="34" charset="0"/>
          <a:cs typeface="Open Sans" panose="020B0606030504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7CC6-B4B0-4EE7-BB27-6F7CFD1F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Introduction</vt:lpstr>
    </vt:vector>
  </TitlesOfParts>
  <Company>Nugent Care</Company>
  <LinksUpToDate>false</LinksUpToDate>
  <CharactersWithSpaces>23523</CharactersWithSpaces>
  <SharedDoc>false</SharedDoc>
  <HLinks>
    <vt:vector size="66" baseType="variant">
      <vt:variant>
        <vt:i4>1966135</vt:i4>
      </vt:variant>
      <vt:variant>
        <vt:i4>62</vt:i4>
      </vt:variant>
      <vt:variant>
        <vt:i4>0</vt:i4>
      </vt:variant>
      <vt:variant>
        <vt:i4>5</vt:i4>
      </vt:variant>
      <vt:variant>
        <vt:lpwstr/>
      </vt:variant>
      <vt:variant>
        <vt:lpwstr>_Toc260048175</vt:lpwstr>
      </vt:variant>
      <vt:variant>
        <vt:i4>1966135</vt:i4>
      </vt:variant>
      <vt:variant>
        <vt:i4>56</vt:i4>
      </vt:variant>
      <vt:variant>
        <vt:i4>0</vt:i4>
      </vt:variant>
      <vt:variant>
        <vt:i4>5</vt:i4>
      </vt:variant>
      <vt:variant>
        <vt:lpwstr/>
      </vt:variant>
      <vt:variant>
        <vt:lpwstr>_Toc260048174</vt:lpwstr>
      </vt:variant>
      <vt:variant>
        <vt:i4>1966135</vt:i4>
      </vt:variant>
      <vt:variant>
        <vt:i4>50</vt:i4>
      </vt:variant>
      <vt:variant>
        <vt:i4>0</vt:i4>
      </vt:variant>
      <vt:variant>
        <vt:i4>5</vt:i4>
      </vt:variant>
      <vt:variant>
        <vt:lpwstr/>
      </vt:variant>
      <vt:variant>
        <vt:lpwstr>_Toc260048173</vt:lpwstr>
      </vt:variant>
      <vt:variant>
        <vt:i4>1966135</vt:i4>
      </vt:variant>
      <vt:variant>
        <vt:i4>44</vt:i4>
      </vt:variant>
      <vt:variant>
        <vt:i4>0</vt:i4>
      </vt:variant>
      <vt:variant>
        <vt:i4>5</vt:i4>
      </vt:variant>
      <vt:variant>
        <vt:lpwstr/>
      </vt:variant>
      <vt:variant>
        <vt:lpwstr>_Toc260048172</vt:lpwstr>
      </vt:variant>
      <vt:variant>
        <vt:i4>1966135</vt:i4>
      </vt:variant>
      <vt:variant>
        <vt:i4>38</vt:i4>
      </vt:variant>
      <vt:variant>
        <vt:i4>0</vt:i4>
      </vt:variant>
      <vt:variant>
        <vt:i4>5</vt:i4>
      </vt:variant>
      <vt:variant>
        <vt:lpwstr/>
      </vt:variant>
      <vt:variant>
        <vt:lpwstr>_Toc260048171</vt:lpwstr>
      </vt:variant>
      <vt:variant>
        <vt:i4>1966135</vt:i4>
      </vt:variant>
      <vt:variant>
        <vt:i4>32</vt:i4>
      </vt:variant>
      <vt:variant>
        <vt:i4>0</vt:i4>
      </vt:variant>
      <vt:variant>
        <vt:i4>5</vt:i4>
      </vt:variant>
      <vt:variant>
        <vt:lpwstr/>
      </vt:variant>
      <vt:variant>
        <vt:lpwstr>_Toc260048170</vt:lpwstr>
      </vt:variant>
      <vt:variant>
        <vt:i4>2031671</vt:i4>
      </vt:variant>
      <vt:variant>
        <vt:i4>26</vt:i4>
      </vt:variant>
      <vt:variant>
        <vt:i4>0</vt:i4>
      </vt:variant>
      <vt:variant>
        <vt:i4>5</vt:i4>
      </vt:variant>
      <vt:variant>
        <vt:lpwstr/>
      </vt:variant>
      <vt:variant>
        <vt:lpwstr>_Toc260048169</vt:lpwstr>
      </vt:variant>
      <vt:variant>
        <vt:i4>2031671</vt:i4>
      </vt:variant>
      <vt:variant>
        <vt:i4>20</vt:i4>
      </vt:variant>
      <vt:variant>
        <vt:i4>0</vt:i4>
      </vt:variant>
      <vt:variant>
        <vt:i4>5</vt:i4>
      </vt:variant>
      <vt:variant>
        <vt:lpwstr/>
      </vt:variant>
      <vt:variant>
        <vt:lpwstr>_Toc260048168</vt:lpwstr>
      </vt:variant>
      <vt:variant>
        <vt:i4>2031671</vt:i4>
      </vt:variant>
      <vt:variant>
        <vt:i4>14</vt:i4>
      </vt:variant>
      <vt:variant>
        <vt:i4>0</vt:i4>
      </vt:variant>
      <vt:variant>
        <vt:i4>5</vt:i4>
      </vt:variant>
      <vt:variant>
        <vt:lpwstr/>
      </vt:variant>
      <vt:variant>
        <vt:lpwstr>_Toc260048167</vt:lpwstr>
      </vt:variant>
      <vt:variant>
        <vt:i4>2031671</vt:i4>
      </vt:variant>
      <vt:variant>
        <vt:i4>8</vt:i4>
      </vt:variant>
      <vt:variant>
        <vt:i4>0</vt:i4>
      </vt:variant>
      <vt:variant>
        <vt:i4>5</vt:i4>
      </vt:variant>
      <vt:variant>
        <vt:lpwstr/>
      </vt:variant>
      <vt:variant>
        <vt:lpwstr>_Toc260048166</vt:lpwstr>
      </vt:variant>
      <vt:variant>
        <vt:i4>2031671</vt:i4>
      </vt:variant>
      <vt:variant>
        <vt:i4>2</vt:i4>
      </vt:variant>
      <vt:variant>
        <vt:i4>0</vt:i4>
      </vt:variant>
      <vt:variant>
        <vt:i4>5</vt:i4>
      </vt:variant>
      <vt:variant>
        <vt:lpwstr/>
      </vt:variant>
      <vt:variant>
        <vt:lpwstr>_Toc260048165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SusanH</dc:creator>
  <cp:lastModifiedBy>Barbara Taylor</cp:lastModifiedBy>
  <cp:revision>10</cp:revision>
  <cp:lastPrinted>2016-05-09T10:46:00Z</cp:lastPrinted>
  <dcterms:created xsi:type="dcterms:W3CDTF">2017-05-18T12:56:00Z</dcterms:created>
  <dcterms:modified xsi:type="dcterms:W3CDTF">2017-05-31T13:06:00Z</dcterms:modified>
</cp:coreProperties>
</file>